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9B87" w14:textId="7DFBE19E" w:rsidR="001333A7" w:rsidRDefault="001333A7"/>
    <w:tbl>
      <w:tblPr>
        <w:tblStyle w:val="Grilledutableau"/>
        <w:tblW w:w="0" w:type="auto"/>
        <w:tblLook w:val="04A0" w:firstRow="1" w:lastRow="0" w:firstColumn="1" w:lastColumn="0" w:noHBand="0" w:noVBand="1"/>
      </w:tblPr>
      <w:tblGrid>
        <w:gridCol w:w="7792"/>
        <w:gridCol w:w="6202"/>
      </w:tblGrid>
      <w:tr w:rsidR="002B1C10" w:rsidRPr="00F90D7F" w14:paraId="41758B89" w14:textId="77777777" w:rsidTr="002B1C10">
        <w:tc>
          <w:tcPr>
            <w:tcW w:w="7792" w:type="dxa"/>
          </w:tcPr>
          <w:p w14:paraId="14F51931" w14:textId="77777777" w:rsidR="002B1C10" w:rsidRPr="00F90D7F" w:rsidRDefault="002B1C10">
            <w:pPr>
              <w:rPr>
                <w:b/>
                <w:bCs/>
              </w:rPr>
            </w:pPr>
            <w:r w:rsidRPr="00F90D7F">
              <w:rPr>
                <w:b/>
                <w:bCs/>
              </w:rPr>
              <w:t>Annexe 1 : prescriptions applicables aux installations classées soumises à enregistrement sous la rubrique 1530 (arrêté du 15 avril 2010)</w:t>
            </w:r>
          </w:p>
          <w:p w14:paraId="1E3F1CA5" w14:textId="02D896C4" w:rsidR="00672A69" w:rsidRPr="00F90D7F" w:rsidRDefault="00672A69">
            <w:pPr>
              <w:rPr>
                <w:b/>
                <w:bCs/>
              </w:rPr>
            </w:pPr>
            <w:r w:rsidRPr="00F90D7F">
              <w:rPr>
                <w:b/>
                <w:bCs/>
              </w:rPr>
              <w:t>Stockage de papiers, carton sou matériaux combustibles analogues</w:t>
            </w:r>
          </w:p>
        </w:tc>
        <w:tc>
          <w:tcPr>
            <w:tcW w:w="6202" w:type="dxa"/>
          </w:tcPr>
          <w:p w14:paraId="763A9BBD" w14:textId="4F91A0F9" w:rsidR="002B1C10" w:rsidRPr="00F90D7F" w:rsidRDefault="002B1C10">
            <w:pPr>
              <w:rPr>
                <w:b/>
                <w:bCs/>
              </w:rPr>
            </w:pPr>
            <w:r w:rsidRPr="00F90D7F">
              <w:rPr>
                <w:b/>
                <w:bCs/>
              </w:rPr>
              <w:t>Activité sous la rubrique 1530</w:t>
            </w:r>
          </w:p>
        </w:tc>
      </w:tr>
      <w:tr w:rsidR="002B1C10" w:rsidRPr="00F90D7F" w14:paraId="55062D4B" w14:textId="77777777" w:rsidTr="002B1C10">
        <w:tc>
          <w:tcPr>
            <w:tcW w:w="13994" w:type="dxa"/>
            <w:gridSpan w:val="2"/>
          </w:tcPr>
          <w:p w14:paraId="6CE2D4AF" w14:textId="2A432866" w:rsidR="002B1C10" w:rsidRPr="00F90D7F" w:rsidRDefault="002B1C10">
            <w:pPr>
              <w:rPr>
                <w:b/>
                <w:bCs/>
              </w:rPr>
            </w:pPr>
            <w:r w:rsidRPr="00F90D7F">
              <w:rPr>
                <w:b/>
                <w:bCs/>
              </w:rPr>
              <w:t>Stockage de paille et fourrage</w:t>
            </w:r>
            <w:r w:rsidR="00672A69" w:rsidRPr="00F90D7F">
              <w:rPr>
                <w:b/>
                <w:bCs/>
              </w:rPr>
              <w:t> : stockage supérieur à 20000 m3 : régime de l’enregistrement</w:t>
            </w:r>
          </w:p>
        </w:tc>
      </w:tr>
      <w:tr w:rsidR="00672A69" w14:paraId="60C2C9CA" w14:textId="77777777" w:rsidTr="00672A69">
        <w:tc>
          <w:tcPr>
            <w:tcW w:w="13994" w:type="dxa"/>
            <w:gridSpan w:val="2"/>
          </w:tcPr>
          <w:p w14:paraId="4D3EF3EC" w14:textId="77777777" w:rsidR="00672A69" w:rsidRDefault="00672A69" w:rsidP="00BE719D">
            <w:r w:rsidRPr="00F90D7F">
              <w:rPr>
                <w:b/>
                <w:bCs/>
              </w:rPr>
              <w:t>Stockage couvert</w:t>
            </w:r>
            <w:r>
              <w:t> : est considéré comme stockage couvert au titre du présent arrêté, tout stockage abrité par une construction présentant des propriétés de résistance au feu au moins R 15, dotée d’une toiture et fermé fermée sur au moins 70% de son périmètre.</w:t>
            </w:r>
          </w:p>
          <w:p w14:paraId="108AC03E" w14:textId="77777777" w:rsidR="00672A69" w:rsidRDefault="00672A69" w:rsidP="00BE719D"/>
          <w:p w14:paraId="3DB1958B" w14:textId="3CAD362B" w:rsidR="00672A69" w:rsidRDefault="00672A69" w:rsidP="00BE719D">
            <w:r w:rsidRPr="00F90D7F">
              <w:rPr>
                <w:b/>
                <w:bCs/>
                <w:color w:val="FF0000"/>
                <w:u w:val="single"/>
              </w:rPr>
              <w:t>Important</w:t>
            </w:r>
            <w:r w:rsidRPr="00F90D7F">
              <w:rPr>
                <w:color w:val="FF0000"/>
              </w:rPr>
              <w:t xml:space="preserve"> : </w:t>
            </w:r>
            <w:r w:rsidRPr="00F90D7F">
              <w:rPr>
                <w:b/>
                <w:bCs/>
                <w:color w:val="FF0000"/>
              </w:rPr>
              <w:t>dans le cas des 2 bâtiments qui seront reconstruits, les 2 constructions sont ouvertes sur 100% de leur périmètre.</w:t>
            </w:r>
          </w:p>
        </w:tc>
      </w:tr>
    </w:tbl>
    <w:p w14:paraId="0E233064" w14:textId="4F3F238B" w:rsidR="00F90D7F" w:rsidRDefault="00F90D7F"/>
    <w:p w14:paraId="444375E5" w14:textId="4A834AED" w:rsidR="00F90D7F" w:rsidRDefault="00F90D7F">
      <w:r>
        <w:t xml:space="preserve">Projet : </w:t>
      </w:r>
      <w:r w:rsidRPr="00534588">
        <w:rPr>
          <w:b/>
          <w:bCs/>
        </w:rPr>
        <w:t>construction de 2 bâtiments de 30 * 60 m avec couverture et ouvert sur 100% de leur périmètre</w:t>
      </w:r>
      <w:r>
        <w:t>.</w:t>
      </w:r>
    </w:p>
    <w:p w14:paraId="29DE3F57" w14:textId="7C627482" w:rsidR="00F90D7F" w:rsidRDefault="00F90D7F">
      <w:r>
        <w:t>Les 2 bâtiments de stockage auront une capacité de stockage unitaire de 20000 m3 chacun.</w:t>
      </w:r>
    </w:p>
    <w:p w14:paraId="48FBD104" w14:textId="6BE18E0B" w:rsidR="00F90D7F" w:rsidRDefault="00F90D7F">
      <w:r>
        <w:t>Les 2 bâtiments seront construits sur un terrain appartenant à l’entreprise dans une ancienne carrière bordée d’un talus ou merlon sur l’ensemble de sa périphérie (section cadastrale YP, parcelles n°88, 89 et 91).</w:t>
      </w:r>
    </w:p>
    <w:p w14:paraId="4713214D" w14:textId="629674BE" w:rsidR="00F90D7F" w:rsidRDefault="00F90D7F">
      <w:r>
        <w:t>La superficie totale du terrain est de 18160 m2.</w:t>
      </w:r>
    </w:p>
    <w:p w14:paraId="39048258" w14:textId="79B5EF4A" w:rsidR="006C60AF" w:rsidRDefault="006C60AF">
      <w:r>
        <w:t>La distance entre les 2 bâtiments sera approximativement de 60 mètres.</w:t>
      </w:r>
    </w:p>
    <w:p w14:paraId="53A9EEBB" w14:textId="39386EA6" w:rsidR="006C60AF" w:rsidRDefault="006C60AF"/>
    <w:p w14:paraId="44F9B3AA" w14:textId="7ECB7BDC" w:rsidR="006C60AF" w:rsidRDefault="006C60AF" w:rsidP="006C60AF">
      <w:pPr>
        <w:jc w:val="center"/>
      </w:pPr>
      <w:r>
        <w:rPr>
          <w:noProof/>
        </w:rPr>
        <w:drawing>
          <wp:inline distT="0" distB="0" distL="0" distR="0" wp14:anchorId="5F5B931E" wp14:editId="60372306">
            <wp:extent cx="4826554" cy="1766582"/>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5426" cy="1824731"/>
                    </a:xfrm>
                    <a:prstGeom prst="rect">
                      <a:avLst/>
                    </a:prstGeom>
                  </pic:spPr>
                </pic:pic>
              </a:graphicData>
            </a:graphic>
          </wp:inline>
        </w:drawing>
      </w:r>
    </w:p>
    <w:tbl>
      <w:tblPr>
        <w:tblStyle w:val="Grilledutableau"/>
        <w:tblW w:w="0" w:type="auto"/>
        <w:tblLook w:val="04A0" w:firstRow="1" w:lastRow="0" w:firstColumn="1" w:lastColumn="0" w:noHBand="0" w:noVBand="1"/>
      </w:tblPr>
      <w:tblGrid>
        <w:gridCol w:w="7933"/>
        <w:gridCol w:w="1560"/>
        <w:gridCol w:w="4501"/>
      </w:tblGrid>
      <w:tr w:rsidR="002B1C10" w:rsidRPr="002702C6" w14:paraId="4A27F671" w14:textId="77777777" w:rsidTr="002702C6">
        <w:tc>
          <w:tcPr>
            <w:tcW w:w="7933" w:type="dxa"/>
            <w:shd w:val="clear" w:color="auto" w:fill="AEAAAA" w:themeFill="background2" w:themeFillShade="BF"/>
          </w:tcPr>
          <w:p w14:paraId="7AFBC960" w14:textId="3E950EFC" w:rsidR="002B1C10" w:rsidRPr="002702C6" w:rsidRDefault="00F90D7F">
            <w:pPr>
              <w:rPr>
                <w:b/>
                <w:bCs/>
              </w:rPr>
            </w:pPr>
            <w:r>
              <w:lastRenderedPageBreak/>
              <w:br w:type="page"/>
            </w:r>
            <w:r w:rsidR="00672A69" w:rsidRPr="002702C6">
              <w:rPr>
                <w:b/>
                <w:bCs/>
              </w:rPr>
              <w:t>Dispositions générales</w:t>
            </w:r>
          </w:p>
        </w:tc>
        <w:tc>
          <w:tcPr>
            <w:tcW w:w="1560" w:type="dxa"/>
            <w:shd w:val="clear" w:color="auto" w:fill="AEAAAA" w:themeFill="background2" w:themeFillShade="BF"/>
          </w:tcPr>
          <w:p w14:paraId="28695E7D" w14:textId="77777777" w:rsidR="002B1C10" w:rsidRPr="002702C6" w:rsidRDefault="002B1C10">
            <w:pPr>
              <w:rPr>
                <w:b/>
                <w:bCs/>
              </w:rPr>
            </w:pPr>
          </w:p>
        </w:tc>
        <w:tc>
          <w:tcPr>
            <w:tcW w:w="4501" w:type="dxa"/>
            <w:shd w:val="clear" w:color="auto" w:fill="AEAAAA" w:themeFill="background2" w:themeFillShade="BF"/>
          </w:tcPr>
          <w:p w14:paraId="6D5AA990" w14:textId="77777777" w:rsidR="002B1C10" w:rsidRPr="002702C6" w:rsidRDefault="002B1C10">
            <w:pPr>
              <w:rPr>
                <w:b/>
                <w:bCs/>
              </w:rPr>
            </w:pPr>
          </w:p>
        </w:tc>
      </w:tr>
      <w:tr w:rsidR="002B1C10" w:rsidRPr="00672A69" w14:paraId="09B7017C" w14:textId="77777777" w:rsidTr="00672A69">
        <w:tc>
          <w:tcPr>
            <w:tcW w:w="7933" w:type="dxa"/>
          </w:tcPr>
          <w:p w14:paraId="7A263413" w14:textId="31ED1F60" w:rsidR="002B1C10" w:rsidRPr="00672A69" w:rsidRDefault="00672A69">
            <w:pPr>
              <w:rPr>
                <w:b/>
                <w:bCs/>
              </w:rPr>
            </w:pPr>
            <w:r w:rsidRPr="00672A69">
              <w:rPr>
                <w:b/>
                <w:bCs/>
              </w:rPr>
              <w:t>1.1 Conformité de l’installation</w:t>
            </w:r>
          </w:p>
        </w:tc>
        <w:tc>
          <w:tcPr>
            <w:tcW w:w="1560" w:type="dxa"/>
          </w:tcPr>
          <w:p w14:paraId="26A8B3BE" w14:textId="77777777" w:rsidR="002B1C10" w:rsidRPr="00672A69" w:rsidRDefault="002B1C10">
            <w:pPr>
              <w:rPr>
                <w:b/>
                <w:bCs/>
              </w:rPr>
            </w:pPr>
          </w:p>
        </w:tc>
        <w:tc>
          <w:tcPr>
            <w:tcW w:w="4501" w:type="dxa"/>
          </w:tcPr>
          <w:p w14:paraId="310436CC" w14:textId="77777777" w:rsidR="002B1C10" w:rsidRPr="00672A69" w:rsidRDefault="002B1C10">
            <w:pPr>
              <w:rPr>
                <w:b/>
                <w:bCs/>
              </w:rPr>
            </w:pPr>
          </w:p>
        </w:tc>
      </w:tr>
      <w:tr w:rsidR="002B1C10" w14:paraId="46A52263" w14:textId="77777777" w:rsidTr="00CE2BEC">
        <w:tc>
          <w:tcPr>
            <w:tcW w:w="7933" w:type="dxa"/>
          </w:tcPr>
          <w:p w14:paraId="4CC0AF90" w14:textId="2614A268" w:rsidR="002B1C10" w:rsidRDefault="00672A69">
            <w:r>
              <w:t>L’installation est implantée, réalisée et exploitée conformément aux plans et autres documents soins au dossier d’enregistrement</w:t>
            </w:r>
          </w:p>
        </w:tc>
        <w:tc>
          <w:tcPr>
            <w:tcW w:w="1560" w:type="dxa"/>
            <w:shd w:val="clear" w:color="auto" w:fill="FFC000"/>
          </w:tcPr>
          <w:p w14:paraId="171C0606" w14:textId="7102317B" w:rsidR="002B1C10" w:rsidRPr="00672A69" w:rsidRDefault="00CE2BEC">
            <w:pPr>
              <w:rPr>
                <w:color w:val="FFFFFF" w:themeColor="background1"/>
              </w:rPr>
            </w:pPr>
            <w:r>
              <w:t>Point de progrès</w:t>
            </w:r>
          </w:p>
        </w:tc>
        <w:tc>
          <w:tcPr>
            <w:tcW w:w="4501" w:type="dxa"/>
          </w:tcPr>
          <w:p w14:paraId="060F0C3C" w14:textId="77777777" w:rsidR="002B1C10" w:rsidRDefault="00672A69">
            <w:r>
              <w:t>Nécessité de réaliser un dossier d’enregistrement au titre de la rubrique 1530</w:t>
            </w:r>
          </w:p>
          <w:p w14:paraId="291FDE6F" w14:textId="070DE364" w:rsidR="00CE2BEC" w:rsidRDefault="00CE2BEC">
            <w:r>
              <w:t xml:space="preserve">Dossier déposé en version papier </w:t>
            </w:r>
            <w:r w:rsidR="00534588">
              <w:t>et clef informatique auprès de la Préfecture 86</w:t>
            </w:r>
          </w:p>
        </w:tc>
      </w:tr>
      <w:tr w:rsidR="002B1C10" w:rsidRPr="00672A69" w14:paraId="1C069F19" w14:textId="77777777" w:rsidTr="00672A69">
        <w:tc>
          <w:tcPr>
            <w:tcW w:w="7933" w:type="dxa"/>
          </w:tcPr>
          <w:p w14:paraId="4825168B" w14:textId="78BA0587" w:rsidR="002B1C10" w:rsidRPr="00672A69" w:rsidRDefault="00672A69">
            <w:pPr>
              <w:rPr>
                <w:b/>
                <w:bCs/>
              </w:rPr>
            </w:pPr>
            <w:r>
              <w:rPr>
                <w:b/>
                <w:bCs/>
              </w:rPr>
              <w:t xml:space="preserve">1.2 </w:t>
            </w:r>
            <w:r w:rsidRPr="00672A69">
              <w:rPr>
                <w:b/>
                <w:bCs/>
              </w:rPr>
              <w:t>Dossier installation classée</w:t>
            </w:r>
          </w:p>
        </w:tc>
        <w:tc>
          <w:tcPr>
            <w:tcW w:w="1560" w:type="dxa"/>
          </w:tcPr>
          <w:p w14:paraId="51DE9F86" w14:textId="77777777" w:rsidR="002B1C10" w:rsidRPr="00672A69" w:rsidRDefault="002B1C10">
            <w:pPr>
              <w:rPr>
                <w:b/>
                <w:bCs/>
              </w:rPr>
            </w:pPr>
          </w:p>
        </w:tc>
        <w:tc>
          <w:tcPr>
            <w:tcW w:w="4501" w:type="dxa"/>
          </w:tcPr>
          <w:p w14:paraId="649AA707" w14:textId="77777777" w:rsidR="002B1C10" w:rsidRPr="00672A69" w:rsidRDefault="002B1C10">
            <w:pPr>
              <w:rPr>
                <w:b/>
                <w:bCs/>
              </w:rPr>
            </w:pPr>
          </w:p>
        </w:tc>
      </w:tr>
      <w:tr w:rsidR="002B1C10" w14:paraId="7069623B" w14:textId="77777777" w:rsidTr="00AE0743">
        <w:tc>
          <w:tcPr>
            <w:tcW w:w="7933" w:type="dxa"/>
          </w:tcPr>
          <w:p w14:paraId="7E1B88BD" w14:textId="77777777" w:rsidR="002B1C10" w:rsidRDefault="00672A69">
            <w:r>
              <w:t>L’exploitant établit et tient à jour un dossier comportant les documents suivants :</w:t>
            </w:r>
          </w:p>
          <w:p w14:paraId="7D93CF21" w14:textId="77777777" w:rsidR="00672A69" w:rsidRDefault="00672A69" w:rsidP="00672A69">
            <w:pPr>
              <w:pStyle w:val="Paragraphedeliste"/>
              <w:numPr>
                <w:ilvl w:val="0"/>
                <w:numId w:val="1"/>
              </w:numPr>
            </w:pPr>
            <w:r>
              <w:t>Une copie de la demande d’enregistrement</w:t>
            </w:r>
          </w:p>
          <w:p w14:paraId="2BFE91EF" w14:textId="7ABAFE26" w:rsidR="00672A69" w:rsidRDefault="00672A69" w:rsidP="00672A69">
            <w:pPr>
              <w:pStyle w:val="Paragraphedeliste"/>
              <w:numPr>
                <w:ilvl w:val="0"/>
                <w:numId w:val="1"/>
              </w:numPr>
            </w:pPr>
            <w:r>
              <w:t>Le dossier d’enregistrement tenu à jour et daté en fonction des modifications apportées à l’installations</w:t>
            </w:r>
          </w:p>
          <w:p w14:paraId="086F9F26" w14:textId="77777777" w:rsidR="00672A69" w:rsidRDefault="00AE0743" w:rsidP="00672A69">
            <w:pPr>
              <w:pStyle w:val="Paragraphedeliste"/>
              <w:numPr>
                <w:ilvl w:val="0"/>
                <w:numId w:val="1"/>
              </w:numPr>
            </w:pPr>
            <w:r>
              <w:t>L’arrêté d’enregistrement délivré par le Préfet ainsi que tout arrêté préfectoral relatif à l’installation</w:t>
            </w:r>
          </w:p>
          <w:p w14:paraId="7C2138CC" w14:textId="77777777" w:rsidR="00AE0743" w:rsidRDefault="00AE0743" w:rsidP="00672A69">
            <w:pPr>
              <w:pStyle w:val="Paragraphedeliste"/>
              <w:numPr>
                <w:ilvl w:val="0"/>
                <w:numId w:val="1"/>
              </w:numPr>
            </w:pPr>
            <w:r>
              <w:t>Les différents documents prévus par le présent arrêté</w:t>
            </w:r>
          </w:p>
          <w:p w14:paraId="24E465AA" w14:textId="77777777" w:rsidR="00AE0743" w:rsidRDefault="00AE0743" w:rsidP="00AE0743">
            <w:r>
              <w:t>Ce dossier est tenu à la disposition de l’inspection des installations classées.</w:t>
            </w:r>
          </w:p>
          <w:p w14:paraId="176BE898" w14:textId="77777777" w:rsidR="00AE0743" w:rsidRDefault="00AE0743" w:rsidP="00AE0743"/>
          <w:p w14:paraId="4512369B" w14:textId="691CF83B" w:rsidR="00AE0743" w:rsidRDefault="00AE0743" w:rsidP="00AE0743"/>
        </w:tc>
        <w:tc>
          <w:tcPr>
            <w:tcW w:w="1560" w:type="dxa"/>
            <w:shd w:val="clear" w:color="auto" w:fill="AEAAAA" w:themeFill="background2" w:themeFillShade="BF"/>
          </w:tcPr>
          <w:p w14:paraId="66C5BECF" w14:textId="221A7CE1" w:rsidR="002B1C10" w:rsidRDefault="00AE0743">
            <w:r>
              <w:t>Pour information</w:t>
            </w:r>
          </w:p>
        </w:tc>
        <w:tc>
          <w:tcPr>
            <w:tcW w:w="4501" w:type="dxa"/>
          </w:tcPr>
          <w:p w14:paraId="4B35F79F" w14:textId="77777777" w:rsidR="002B1C10" w:rsidRDefault="002B1C10"/>
        </w:tc>
      </w:tr>
      <w:tr w:rsidR="002B1C10" w:rsidRPr="00AE0743" w14:paraId="5A9791F3" w14:textId="77777777" w:rsidTr="00672A69">
        <w:tc>
          <w:tcPr>
            <w:tcW w:w="7933" w:type="dxa"/>
          </w:tcPr>
          <w:p w14:paraId="15EA589D" w14:textId="4E5D0A55" w:rsidR="002B1C10" w:rsidRPr="00AE0743" w:rsidRDefault="00AE0743">
            <w:pPr>
              <w:rPr>
                <w:b/>
                <w:bCs/>
              </w:rPr>
            </w:pPr>
            <w:r w:rsidRPr="00AE0743">
              <w:rPr>
                <w:b/>
                <w:bCs/>
              </w:rPr>
              <w:t>1.3 Entraînement des poussières et de boue</w:t>
            </w:r>
          </w:p>
        </w:tc>
        <w:tc>
          <w:tcPr>
            <w:tcW w:w="1560" w:type="dxa"/>
          </w:tcPr>
          <w:p w14:paraId="5A563728" w14:textId="77777777" w:rsidR="002B1C10" w:rsidRPr="00AE0743" w:rsidRDefault="002B1C10">
            <w:pPr>
              <w:rPr>
                <w:b/>
                <w:bCs/>
              </w:rPr>
            </w:pPr>
          </w:p>
        </w:tc>
        <w:tc>
          <w:tcPr>
            <w:tcW w:w="4501" w:type="dxa"/>
          </w:tcPr>
          <w:p w14:paraId="388ED53F" w14:textId="77777777" w:rsidR="002B1C10" w:rsidRPr="00AE0743" w:rsidRDefault="002B1C10">
            <w:pPr>
              <w:rPr>
                <w:b/>
                <w:bCs/>
              </w:rPr>
            </w:pPr>
          </w:p>
        </w:tc>
      </w:tr>
      <w:tr w:rsidR="00AE0743" w14:paraId="785DF09D" w14:textId="77777777" w:rsidTr="00AE0743">
        <w:tc>
          <w:tcPr>
            <w:tcW w:w="7933" w:type="dxa"/>
          </w:tcPr>
          <w:p w14:paraId="388E9F60" w14:textId="7CD1BE5B" w:rsidR="00AE0743" w:rsidRDefault="00AE0743" w:rsidP="00AE0743">
            <w:r w:rsidRPr="00AE0743">
              <w:rPr>
                <w:u w:val="single"/>
              </w:rPr>
              <w:t>L’exploitant adopte les dispositions suivantes, nécessaires pour prévenir les envols de poussières et matières diverses</w:t>
            </w:r>
            <w:r>
              <w:t> :</w:t>
            </w:r>
          </w:p>
          <w:p w14:paraId="47A48012" w14:textId="77777777" w:rsidR="00AE0743" w:rsidRDefault="00AE0743" w:rsidP="00AE0743">
            <w:pPr>
              <w:pStyle w:val="Paragraphedeliste"/>
              <w:numPr>
                <w:ilvl w:val="0"/>
                <w:numId w:val="1"/>
              </w:numPr>
            </w:pPr>
            <w:r>
              <w:t xml:space="preserve">Les voies de circulations et aires de stationnement des véhicules sont aménagées (formes de pentes, </w:t>
            </w:r>
            <w:proofErr w:type="gramStart"/>
            <w:r>
              <w:t>revêtements,…</w:t>
            </w:r>
            <w:proofErr w:type="gramEnd"/>
            <w:r>
              <w:t>)et convenablement nettoyées</w:t>
            </w:r>
          </w:p>
          <w:p w14:paraId="3B30BAAE" w14:textId="77777777" w:rsidR="00AE0743" w:rsidRDefault="00AE0743" w:rsidP="00AE0743">
            <w:pPr>
              <w:pStyle w:val="Paragraphedeliste"/>
              <w:numPr>
                <w:ilvl w:val="0"/>
                <w:numId w:val="1"/>
              </w:numPr>
            </w:pPr>
            <w:r>
              <w:t>Les véhicules sortant de l’installation n’entraînement pas de dépôts de poussières ou de boue sur les voies de circulation</w:t>
            </w:r>
          </w:p>
          <w:p w14:paraId="03C6FCBC" w14:textId="3973789F" w:rsidR="00AE0743" w:rsidRDefault="00AE0743" w:rsidP="00AE0743">
            <w:pPr>
              <w:pStyle w:val="Paragraphedeliste"/>
              <w:numPr>
                <w:ilvl w:val="0"/>
                <w:numId w:val="1"/>
              </w:numPr>
            </w:pPr>
            <w:r>
              <w:t>Les surfaces où cela est possible sont engazonnées</w:t>
            </w:r>
          </w:p>
        </w:tc>
        <w:tc>
          <w:tcPr>
            <w:tcW w:w="1560" w:type="dxa"/>
            <w:shd w:val="clear" w:color="auto" w:fill="AEAAAA" w:themeFill="background2" w:themeFillShade="BF"/>
          </w:tcPr>
          <w:p w14:paraId="03DA6987" w14:textId="5D1750A8" w:rsidR="00AE0743" w:rsidRDefault="00AE0743" w:rsidP="00AE0743">
            <w:r>
              <w:t>Pour information</w:t>
            </w:r>
          </w:p>
        </w:tc>
        <w:tc>
          <w:tcPr>
            <w:tcW w:w="4501" w:type="dxa"/>
          </w:tcPr>
          <w:p w14:paraId="6D0F207B" w14:textId="77777777" w:rsidR="00AE0743" w:rsidRDefault="00AE0743" w:rsidP="00AE0743"/>
        </w:tc>
      </w:tr>
      <w:tr w:rsidR="00AE0743" w:rsidRPr="00AE0743" w14:paraId="4EBAA40A" w14:textId="77777777" w:rsidTr="00672A69">
        <w:tc>
          <w:tcPr>
            <w:tcW w:w="7933" w:type="dxa"/>
          </w:tcPr>
          <w:p w14:paraId="46E4A076" w14:textId="5B126DED" w:rsidR="00AE0743" w:rsidRPr="00AE0743" w:rsidRDefault="00AE0743" w:rsidP="00AE0743">
            <w:pPr>
              <w:rPr>
                <w:b/>
                <w:bCs/>
              </w:rPr>
            </w:pPr>
            <w:r w:rsidRPr="00AE0743">
              <w:rPr>
                <w:b/>
                <w:bCs/>
              </w:rPr>
              <w:t>1.4 Intégration dans le paysage</w:t>
            </w:r>
          </w:p>
        </w:tc>
        <w:tc>
          <w:tcPr>
            <w:tcW w:w="1560" w:type="dxa"/>
          </w:tcPr>
          <w:p w14:paraId="4BEC9839" w14:textId="77777777" w:rsidR="00AE0743" w:rsidRPr="00AE0743" w:rsidRDefault="00AE0743" w:rsidP="00AE0743">
            <w:pPr>
              <w:rPr>
                <w:b/>
                <w:bCs/>
              </w:rPr>
            </w:pPr>
          </w:p>
        </w:tc>
        <w:tc>
          <w:tcPr>
            <w:tcW w:w="4501" w:type="dxa"/>
          </w:tcPr>
          <w:p w14:paraId="4E9895E0" w14:textId="77777777" w:rsidR="00AE0743" w:rsidRPr="00AE0743" w:rsidRDefault="00AE0743" w:rsidP="00AE0743">
            <w:pPr>
              <w:rPr>
                <w:b/>
                <w:bCs/>
              </w:rPr>
            </w:pPr>
          </w:p>
        </w:tc>
      </w:tr>
      <w:tr w:rsidR="00AE0743" w14:paraId="002AA303" w14:textId="77777777" w:rsidTr="00AE0743">
        <w:tc>
          <w:tcPr>
            <w:tcW w:w="7933" w:type="dxa"/>
          </w:tcPr>
          <w:p w14:paraId="7CDD3FA6" w14:textId="44249582" w:rsidR="00AE0743" w:rsidRDefault="00AE0743" w:rsidP="00AE0743">
            <w:r>
              <w:t>L’ensemble des installations est maintenu propre et entretenu en permanence.</w:t>
            </w:r>
          </w:p>
          <w:p w14:paraId="7287A06E" w14:textId="77777777" w:rsidR="00AE0743" w:rsidRDefault="00AE0743" w:rsidP="00AE0743">
            <w:r>
              <w:t>Des écrans de végétalisation sont mis en place si cela est possible.</w:t>
            </w:r>
          </w:p>
          <w:p w14:paraId="3881E4DC" w14:textId="69DB2009" w:rsidR="00AE0743" w:rsidRDefault="00AE0743" w:rsidP="00AE0743">
            <w:r>
              <w:t>Pour l’entretien des surfaces extérieures de son site, l’exploitant met en œuvre des bonnes pratiques, notamment en ce qui concerne le désherbage.</w:t>
            </w:r>
          </w:p>
        </w:tc>
        <w:tc>
          <w:tcPr>
            <w:tcW w:w="1560" w:type="dxa"/>
            <w:shd w:val="clear" w:color="auto" w:fill="AEAAAA" w:themeFill="background2" w:themeFillShade="BF"/>
          </w:tcPr>
          <w:p w14:paraId="6A35A250" w14:textId="16B4EB54" w:rsidR="00AE0743" w:rsidRDefault="00AE0743" w:rsidP="00AE0743">
            <w:r>
              <w:t>Pour information</w:t>
            </w:r>
          </w:p>
        </w:tc>
        <w:tc>
          <w:tcPr>
            <w:tcW w:w="4501" w:type="dxa"/>
          </w:tcPr>
          <w:p w14:paraId="26A0C176" w14:textId="0AE5CBFA" w:rsidR="00AE0743" w:rsidRDefault="00F90D7F" w:rsidP="00AE0743">
            <w:r>
              <w:t>Merlon ou talus présent sur toute la périphérie du terrain.</w:t>
            </w:r>
          </w:p>
        </w:tc>
      </w:tr>
    </w:tbl>
    <w:p w14:paraId="727EC7F0" w14:textId="7790DE8E" w:rsidR="006C60AF" w:rsidRDefault="006C60AF"/>
    <w:p w14:paraId="0BB6E46D" w14:textId="77777777" w:rsidR="006C60AF" w:rsidRDefault="006C60AF">
      <w:r>
        <w:br w:type="page"/>
      </w:r>
    </w:p>
    <w:p w14:paraId="1D844D29" w14:textId="77777777" w:rsidR="00F90D7F" w:rsidRDefault="00F90D7F"/>
    <w:tbl>
      <w:tblPr>
        <w:tblStyle w:val="Grilledutableau"/>
        <w:tblW w:w="0" w:type="auto"/>
        <w:tblLook w:val="04A0" w:firstRow="1" w:lastRow="0" w:firstColumn="1" w:lastColumn="0" w:noHBand="0" w:noVBand="1"/>
      </w:tblPr>
      <w:tblGrid>
        <w:gridCol w:w="7933"/>
        <w:gridCol w:w="1560"/>
        <w:gridCol w:w="4501"/>
      </w:tblGrid>
      <w:tr w:rsidR="00AE0743" w:rsidRPr="002702C6" w14:paraId="03EC89AE" w14:textId="77777777" w:rsidTr="002702C6">
        <w:tc>
          <w:tcPr>
            <w:tcW w:w="7933" w:type="dxa"/>
            <w:shd w:val="clear" w:color="auto" w:fill="AEAAAA" w:themeFill="background2" w:themeFillShade="BF"/>
          </w:tcPr>
          <w:p w14:paraId="40CB1137" w14:textId="16E790A8" w:rsidR="00AE0743" w:rsidRPr="002702C6" w:rsidRDefault="00F90D7F" w:rsidP="00BE719D">
            <w:pPr>
              <w:rPr>
                <w:b/>
                <w:bCs/>
              </w:rPr>
            </w:pPr>
            <w:r>
              <w:br w:type="page"/>
            </w:r>
            <w:r w:rsidR="00AE0743" w:rsidRPr="002702C6">
              <w:rPr>
                <w:b/>
                <w:bCs/>
              </w:rPr>
              <w:t>Risques</w:t>
            </w:r>
          </w:p>
        </w:tc>
        <w:tc>
          <w:tcPr>
            <w:tcW w:w="1560" w:type="dxa"/>
            <w:shd w:val="clear" w:color="auto" w:fill="AEAAAA" w:themeFill="background2" w:themeFillShade="BF"/>
          </w:tcPr>
          <w:p w14:paraId="49603CA7" w14:textId="77777777" w:rsidR="00AE0743" w:rsidRPr="002702C6" w:rsidRDefault="00AE0743" w:rsidP="00BE719D">
            <w:pPr>
              <w:rPr>
                <w:b/>
                <w:bCs/>
              </w:rPr>
            </w:pPr>
          </w:p>
        </w:tc>
        <w:tc>
          <w:tcPr>
            <w:tcW w:w="4501" w:type="dxa"/>
            <w:shd w:val="clear" w:color="auto" w:fill="AEAAAA" w:themeFill="background2" w:themeFillShade="BF"/>
          </w:tcPr>
          <w:p w14:paraId="0C03AC10" w14:textId="77777777" w:rsidR="00AE0743" w:rsidRPr="002702C6" w:rsidRDefault="00AE0743" w:rsidP="00BE719D">
            <w:pPr>
              <w:rPr>
                <w:b/>
                <w:bCs/>
              </w:rPr>
            </w:pPr>
          </w:p>
        </w:tc>
      </w:tr>
      <w:tr w:rsidR="00AE0743" w:rsidRPr="00672A69" w14:paraId="3F688FEB" w14:textId="77777777" w:rsidTr="00BE719D">
        <w:tc>
          <w:tcPr>
            <w:tcW w:w="7933" w:type="dxa"/>
          </w:tcPr>
          <w:p w14:paraId="246A7D9A" w14:textId="617C60DB" w:rsidR="00AE0743" w:rsidRPr="00672A69" w:rsidRDefault="002702C6" w:rsidP="00BE719D">
            <w:pPr>
              <w:rPr>
                <w:b/>
                <w:bCs/>
              </w:rPr>
            </w:pPr>
            <w:r>
              <w:rPr>
                <w:b/>
                <w:bCs/>
              </w:rPr>
              <w:t>2.1 Implantation</w:t>
            </w:r>
          </w:p>
        </w:tc>
        <w:tc>
          <w:tcPr>
            <w:tcW w:w="1560" w:type="dxa"/>
          </w:tcPr>
          <w:p w14:paraId="246148ED" w14:textId="77777777" w:rsidR="00AE0743" w:rsidRPr="00672A69" w:rsidRDefault="00AE0743" w:rsidP="00BE719D">
            <w:pPr>
              <w:rPr>
                <w:b/>
                <w:bCs/>
              </w:rPr>
            </w:pPr>
          </w:p>
        </w:tc>
        <w:tc>
          <w:tcPr>
            <w:tcW w:w="4501" w:type="dxa"/>
          </w:tcPr>
          <w:p w14:paraId="4337669E" w14:textId="77777777" w:rsidR="00AE0743" w:rsidRPr="00672A69" w:rsidRDefault="00AE0743" w:rsidP="00BE719D">
            <w:pPr>
              <w:rPr>
                <w:b/>
                <w:bCs/>
              </w:rPr>
            </w:pPr>
          </w:p>
        </w:tc>
      </w:tr>
      <w:tr w:rsidR="00006DAD" w14:paraId="32BDA7D2" w14:textId="77777777" w:rsidTr="002702C6">
        <w:tc>
          <w:tcPr>
            <w:tcW w:w="7933" w:type="dxa"/>
          </w:tcPr>
          <w:p w14:paraId="3372A47E" w14:textId="489EC9DE" w:rsidR="00006DAD" w:rsidRDefault="002702C6" w:rsidP="00BE719D">
            <w:r>
              <w:t>Les limites de stockage sont implantées à une distance limite des limites du sites de façon à ce que les effets létaux soient contenus dans l’enceinte de l’établissement en cas d’incendie en prenant en compte la configuration la plus défavorable par rapport aux matières combustibles potentiellement stockées en utilisant la méthode de calcul FLIMILOG.</w:t>
            </w:r>
          </w:p>
          <w:p w14:paraId="5B36A2A7" w14:textId="5C411A67" w:rsidR="002702C6" w:rsidRDefault="002702C6" w:rsidP="00BE719D">
            <w:r>
              <w:t>Cette distance est au moins égale à 20 m.</w:t>
            </w:r>
          </w:p>
        </w:tc>
        <w:tc>
          <w:tcPr>
            <w:tcW w:w="1560" w:type="dxa"/>
            <w:shd w:val="clear" w:color="auto" w:fill="92D050"/>
          </w:tcPr>
          <w:p w14:paraId="5A0AB9E8" w14:textId="7FC57F2B" w:rsidR="00006DAD" w:rsidRPr="002702C6" w:rsidRDefault="002702C6" w:rsidP="00BE719D">
            <w:r>
              <w:t>C</w:t>
            </w:r>
            <w:r w:rsidRPr="002702C6">
              <w:t>onforme</w:t>
            </w:r>
          </w:p>
        </w:tc>
        <w:tc>
          <w:tcPr>
            <w:tcW w:w="4501" w:type="dxa"/>
          </w:tcPr>
          <w:p w14:paraId="7AB36A46" w14:textId="77777777" w:rsidR="00006DAD" w:rsidRDefault="00006DAD" w:rsidP="00BE719D"/>
          <w:p w14:paraId="688ADFEE" w14:textId="63A637B1" w:rsidR="006B45CF" w:rsidRPr="006B45CF" w:rsidRDefault="006B45CF" w:rsidP="006B45CF">
            <w:pPr>
              <w:jc w:val="center"/>
            </w:pPr>
          </w:p>
        </w:tc>
      </w:tr>
      <w:tr w:rsidR="00006DAD" w:rsidRPr="00672A69" w14:paraId="69B9CB6D" w14:textId="77777777" w:rsidTr="00006DAD">
        <w:tc>
          <w:tcPr>
            <w:tcW w:w="7933" w:type="dxa"/>
          </w:tcPr>
          <w:p w14:paraId="331B0CEC" w14:textId="77777777" w:rsidR="00006DAD" w:rsidRPr="002702C6" w:rsidRDefault="002702C6" w:rsidP="00BE719D">
            <w:r w:rsidRPr="002702C6">
              <w:t>Le stockage est par ailleurs situé à plus de 30 mètres de tous les produits et installations au sein de l’établissement susceptibles de produire des effets toxiques ou des explosions en cas d’incendie.</w:t>
            </w:r>
          </w:p>
          <w:p w14:paraId="2F560A44" w14:textId="31684173" w:rsidR="002702C6" w:rsidRPr="00672A69" w:rsidRDefault="002702C6" w:rsidP="00BE719D">
            <w:pPr>
              <w:rPr>
                <w:b/>
                <w:bCs/>
              </w:rPr>
            </w:pPr>
            <w:r w:rsidRPr="002702C6">
              <w:t>Les éléments de démonstration sont tenus à la disposition de l’inspection des installations classées.</w:t>
            </w:r>
          </w:p>
        </w:tc>
        <w:tc>
          <w:tcPr>
            <w:tcW w:w="1560" w:type="dxa"/>
          </w:tcPr>
          <w:p w14:paraId="12D4A6C7" w14:textId="4602EAEC" w:rsidR="00006DAD" w:rsidRPr="002702C6" w:rsidRDefault="002702C6" w:rsidP="00BE719D">
            <w:r>
              <w:t>Non applicable</w:t>
            </w:r>
          </w:p>
        </w:tc>
        <w:tc>
          <w:tcPr>
            <w:tcW w:w="4501" w:type="dxa"/>
          </w:tcPr>
          <w:p w14:paraId="030ECC21" w14:textId="62ED14ED" w:rsidR="00006DAD" w:rsidRPr="006A739E" w:rsidRDefault="006A739E" w:rsidP="00BE719D">
            <w:r w:rsidRPr="006A739E">
              <w:t>Pas d’autres produits sur le site.</w:t>
            </w:r>
          </w:p>
        </w:tc>
      </w:tr>
      <w:tr w:rsidR="00006DAD" w14:paraId="7033025C" w14:textId="77777777" w:rsidTr="006A739E">
        <w:tc>
          <w:tcPr>
            <w:tcW w:w="7933" w:type="dxa"/>
          </w:tcPr>
          <w:p w14:paraId="4BDEE6D9" w14:textId="77777777" w:rsidR="00006DAD" w:rsidRDefault="002702C6" w:rsidP="00BE719D">
            <w:r>
              <w:t>L’installation ne comporte pas, ne surmonte pas ni n’est surmonté de locaux habités ou occupés par des tiers.</w:t>
            </w:r>
          </w:p>
          <w:p w14:paraId="71695F89" w14:textId="77777777" w:rsidR="002702C6" w:rsidRDefault="002702C6" w:rsidP="00BE719D"/>
          <w:p w14:paraId="17BE12B5" w14:textId="1A823BD1" w:rsidR="002702C6" w:rsidRDefault="002702C6" w:rsidP="00BE719D">
            <w:r>
              <w:t>Le stockage en sous-sol est interdit.</w:t>
            </w:r>
          </w:p>
        </w:tc>
        <w:tc>
          <w:tcPr>
            <w:tcW w:w="1560" w:type="dxa"/>
            <w:shd w:val="clear" w:color="auto" w:fill="auto"/>
          </w:tcPr>
          <w:p w14:paraId="71E068C4" w14:textId="6437B848" w:rsidR="00006DAD" w:rsidRPr="00672A69" w:rsidRDefault="006A739E" w:rsidP="00BE719D">
            <w:pPr>
              <w:rPr>
                <w:color w:val="FFFFFF" w:themeColor="background1"/>
              </w:rPr>
            </w:pPr>
            <w:r>
              <w:t>Non applicable</w:t>
            </w:r>
          </w:p>
        </w:tc>
        <w:tc>
          <w:tcPr>
            <w:tcW w:w="4501" w:type="dxa"/>
          </w:tcPr>
          <w:p w14:paraId="49201E30" w14:textId="4705F3A8" w:rsidR="00006DAD" w:rsidRDefault="006A739E" w:rsidP="00BE719D">
            <w:r>
              <w:t>Pas de locaux habités sur site ou à proximité.</w:t>
            </w:r>
          </w:p>
        </w:tc>
      </w:tr>
      <w:tr w:rsidR="00006DAD" w:rsidRPr="00672A69" w14:paraId="5F8320ED" w14:textId="77777777" w:rsidTr="006A739E">
        <w:tc>
          <w:tcPr>
            <w:tcW w:w="7933" w:type="dxa"/>
            <w:shd w:val="clear" w:color="auto" w:fill="AEAAAA" w:themeFill="background2" w:themeFillShade="BF"/>
          </w:tcPr>
          <w:p w14:paraId="7C44BD85" w14:textId="7D73F86D" w:rsidR="00006DAD" w:rsidRPr="00672A69" w:rsidRDefault="006A739E" w:rsidP="00BE719D">
            <w:pPr>
              <w:rPr>
                <w:b/>
                <w:bCs/>
              </w:rPr>
            </w:pPr>
            <w:r>
              <w:rPr>
                <w:b/>
                <w:bCs/>
              </w:rPr>
              <w:t>Construction - Accessibilité</w:t>
            </w:r>
          </w:p>
        </w:tc>
        <w:tc>
          <w:tcPr>
            <w:tcW w:w="1560" w:type="dxa"/>
            <w:shd w:val="clear" w:color="auto" w:fill="AEAAAA" w:themeFill="background2" w:themeFillShade="BF"/>
          </w:tcPr>
          <w:p w14:paraId="74278A07" w14:textId="77777777" w:rsidR="00006DAD" w:rsidRPr="00672A69" w:rsidRDefault="00006DAD" w:rsidP="00BE719D">
            <w:pPr>
              <w:rPr>
                <w:b/>
                <w:bCs/>
              </w:rPr>
            </w:pPr>
          </w:p>
        </w:tc>
        <w:tc>
          <w:tcPr>
            <w:tcW w:w="4501" w:type="dxa"/>
            <w:shd w:val="clear" w:color="auto" w:fill="AEAAAA" w:themeFill="background2" w:themeFillShade="BF"/>
          </w:tcPr>
          <w:p w14:paraId="2BE73258" w14:textId="77777777" w:rsidR="00006DAD" w:rsidRPr="00672A69" w:rsidRDefault="00006DAD" w:rsidP="00BE719D">
            <w:pPr>
              <w:rPr>
                <w:b/>
                <w:bCs/>
              </w:rPr>
            </w:pPr>
          </w:p>
        </w:tc>
      </w:tr>
      <w:tr w:rsidR="00006DAD" w:rsidRPr="006A739E" w14:paraId="2755E2B5" w14:textId="77777777" w:rsidTr="00006DAD">
        <w:tc>
          <w:tcPr>
            <w:tcW w:w="7933" w:type="dxa"/>
          </w:tcPr>
          <w:p w14:paraId="4492FE76" w14:textId="45519ABE" w:rsidR="00006DAD" w:rsidRPr="006A739E" w:rsidRDefault="006A739E" w:rsidP="00BE719D">
            <w:pPr>
              <w:rPr>
                <w:b/>
                <w:bCs/>
              </w:rPr>
            </w:pPr>
            <w:r w:rsidRPr="006A739E">
              <w:rPr>
                <w:b/>
                <w:bCs/>
              </w:rPr>
              <w:t>2.2.1 Accessibilité du site</w:t>
            </w:r>
          </w:p>
        </w:tc>
        <w:tc>
          <w:tcPr>
            <w:tcW w:w="1560" w:type="dxa"/>
          </w:tcPr>
          <w:p w14:paraId="5638D0F4" w14:textId="77777777" w:rsidR="00006DAD" w:rsidRPr="006A739E" w:rsidRDefault="00006DAD" w:rsidP="00BE719D">
            <w:pPr>
              <w:rPr>
                <w:b/>
                <w:bCs/>
                <w:color w:val="FFFFFF" w:themeColor="background1"/>
              </w:rPr>
            </w:pPr>
          </w:p>
        </w:tc>
        <w:tc>
          <w:tcPr>
            <w:tcW w:w="4501" w:type="dxa"/>
          </w:tcPr>
          <w:p w14:paraId="5CB5038B" w14:textId="77777777" w:rsidR="00006DAD" w:rsidRPr="006A739E" w:rsidRDefault="00006DAD" w:rsidP="00BE719D">
            <w:pPr>
              <w:rPr>
                <w:b/>
                <w:bCs/>
              </w:rPr>
            </w:pPr>
          </w:p>
        </w:tc>
      </w:tr>
      <w:tr w:rsidR="00006DAD" w:rsidRPr="006A739E" w14:paraId="4BC9CC8E" w14:textId="77777777" w:rsidTr="006A739E">
        <w:tc>
          <w:tcPr>
            <w:tcW w:w="7933" w:type="dxa"/>
          </w:tcPr>
          <w:p w14:paraId="24E71338" w14:textId="3B6BCF1F" w:rsidR="00006DAD" w:rsidRPr="006A739E" w:rsidRDefault="006A739E" w:rsidP="00BE719D">
            <w:r w:rsidRPr="006A739E">
              <w:t>L’insta</w:t>
            </w:r>
            <w:r>
              <w:t>llation</w:t>
            </w:r>
            <w:r w:rsidRPr="006A739E">
              <w:t xml:space="preserve"> dispose en perm</w:t>
            </w:r>
            <w:r>
              <w:t>anence d’un accès au moins permettant l’intervention des services de secours.</w:t>
            </w:r>
          </w:p>
        </w:tc>
        <w:tc>
          <w:tcPr>
            <w:tcW w:w="1560" w:type="dxa"/>
            <w:shd w:val="clear" w:color="auto" w:fill="92D050"/>
          </w:tcPr>
          <w:p w14:paraId="4FD92089" w14:textId="0B08B78B" w:rsidR="00006DAD" w:rsidRPr="006A739E" w:rsidRDefault="006A739E" w:rsidP="00BE719D">
            <w:r>
              <w:t>Conforme</w:t>
            </w:r>
          </w:p>
        </w:tc>
        <w:tc>
          <w:tcPr>
            <w:tcW w:w="4501" w:type="dxa"/>
          </w:tcPr>
          <w:p w14:paraId="7CB94CFA" w14:textId="77777777" w:rsidR="00006DAD" w:rsidRDefault="006C60AF" w:rsidP="00BE719D">
            <w:r>
              <w:t>Parcelle close par une clôture en grillage d’une hauteur de 1.80 m.</w:t>
            </w:r>
          </w:p>
          <w:p w14:paraId="664FB9D3" w14:textId="77777777" w:rsidR="006C60AF" w:rsidRDefault="006C60AF" w:rsidP="00BE719D"/>
          <w:p w14:paraId="57C215C3" w14:textId="30EC70BD" w:rsidR="006C60AF" w:rsidRPr="006A739E" w:rsidRDefault="006C60AF" w:rsidP="00BE719D">
            <w:r>
              <w:t>Portail d’accès aux véhicules de secours</w:t>
            </w:r>
          </w:p>
        </w:tc>
      </w:tr>
      <w:tr w:rsidR="00006DAD" w14:paraId="5CA25042" w14:textId="77777777" w:rsidTr="006A739E">
        <w:tc>
          <w:tcPr>
            <w:tcW w:w="7933" w:type="dxa"/>
          </w:tcPr>
          <w:p w14:paraId="17B940F3" w14:textId="6F8A1A02" w:rsidR="00006DAD" w:rsidRDefault="006A739E" w:rsidP="00BE719D">
            <w:r>
              <w:t>Les véhicules dont la présence est liée à l’exploitation de l’installation stationnent sans occasionner de gêne pour l’accessibilité des engins d’incendie.</w:t>
            </w:r>
          </w:p>
        </w:tc>
        <w:tc>
          <w:tcPr>
            <w:tcW w:w="1560" w:type="dxa"/>
            <w:shd w:val="clear" w:color="auto" w:fill="92D050"/>
          </w:tcPr>
          <w:p w14:paraId="38FD6A31" w14:textId="170C46C6" w:rsidR="00006DAD" w:rsidRPr="006A739E" w:rsidRDefault="006A739E" w:rsidP="00BE719D">
            <w:r w:rsidRPr="006A739E">
              <w:t>Conforme</w:t>
            </w:r>
          </w:p>
        </w:tc>
        <w:tc>
          <w:tcPr>
            <w:tcW w:w="4501" w:type="dxa"/>
          </w:tcPr>
          <w:p w14:paraId="6CDFB151" w14:textId="2CBF454C" w:rsidR="00006DAD" w:rsidRDefault="006A739E" w:rsidP="00BE719D">
            <w:r>
              <w:t>Pas de véhicules sur site (en dehors de période de stockage ou de chargement pendant la période des moissons).</w:t>
            </w:r>
          </w:p>
        </w:tc>
      </w:tr>
      <w:tr w:rsidR="006A739E" w14:paraId="69B7F4AD" w14:textId="77777777" w:rsidTr="006A739E">
        <w:tc>
          <w:tcPr>
            <w:tcW w:w="7933" w:type="dxa"/>
          </w:tcPr>
          <w:p w14:paraId="1BB9A55C" w14:textId="3C0974F1" w:rsidR="006A739E" w:rsidRDefault="006A739E" w:rsidP="00BE719D">
            <w:r>
              <w:t>La voie d’accès des services de secours est maintenue dégagée de tout stationnement.</w:t>
            </w:r>
          </w:p>
          <w:p w14:paraId="5EF7FE45" w14:textId="6277A2B4" w:rsidR="006A739E" w:rsidRDefault="006A739E" w:rsidP="00BE719D">
            <w:r>
              <w:t>Elle comporte une matérialisation au sol. Ce dispositif peut être renforcé par une signalisation verticale</w:t>
            </w:r>
          </w:p>
        </w:tc>
        <w:tc>
          <w:tcPr>
            <w:tcW w:w="1560" w:type="dxa"/>
            <w:shd w:val="clear" w:color="auto" w:fill="FFC000"/>
          </w:tcPr>
          <w:p w14:paraId="6AE27481" w14:textId="7F9233B1" w:rsidR="006A739E" w:rsidRPr="006A739E" w:rsidRDefault="006A739E" w:rsidP="00BE719D">
            <w:r>
              <w:t>Point de progrès</w:t>
            </w:r>
          </w:p>
        </w:tc>
        <w:tc>
          <w:tcPr>
            <w:tcW w:w="4501" w:type="dxa"/>
          </w:tcPr>
          <w:p w14:paraId="0C9C7818" w14:textId="77777777" w:rsidR="006A739E" w:rsidRDefault="006A739E" w:rsidP="00BE719D"/>
        </w:tc>
      </w:tr>
      <w:tr w:rsidR="006A739E" w14:paraId="6DBECEB2" w14:textId="77777777" w:rsidTr="006A739E">
        <w:tc>
          <w:tcPr>
            <w:tcW w:w="7933" w:type="dxa"/>
          </w:tcPr>
          <w:p w14:paraId="51328762" w14:textId="796E9D0A" w:rsidR="006A739E" w:rsidRDefault="006A739E" w:rsidP="006A739E">
            <w:r>
              <w:lastRenderedPageBreak/>
              <w:t>L’exploitant tient à la disposition des services d’incendie et de secours des consignes précises pour l’accès des secours avec des procédures pour accéder à tous les lieux</w:t>
            </w:r>
          </w:p>
        </w:tc>
        <w:tc>
          <w:tcPr>
            <w:tcW w:w="1560" w:type="dxa"/>
            <w:shd w:val="clear" w:color="auto" w:fill="FFC000"/>
          </w:tcPr>
          <w:p w14:paraId="1A80A215" w14:textId="7C96D608" w:rsidR="006A739E" w:rsidRPr="006A739E" w:rsidRDefault="006A739E" w:rsidP="006A739E">
            <w:r>
              <w:t>Point de progrès</w:t>
            </w:r>
          </w:p>
        </w:tc>
        <w:tc>
          <w:tcPr>
            <w:tcW w:w="4501" w:type="dxa"/>
          </w:tcPr>
          <w:p w14:paraId="53D6AD2F" w14:textId="77777777" w:rsidR="006A739E" w:rsidRDefault="006A739E" w:rsidP="006A739E"/>
        </w:tc>
      </w:tr>
      <w:tr w:rsidR="006A739E" w:rsidRPr="006A739E" w14:paraId="42FFC72C" w14:textId="77777777" w:rsidTr="006A739E">
        <w:tc>
          <w:tcPr>
            <w:tcW w:w="7933" w:type="dxa"/>
          </w:tcPr>
          <w:p w14:paraId="4C0C6EB6" w14:textId="7685781F" w:rsidR="006A739E" w:rsidRPr="006A739E" w:rsidRDefault="006A739E" w:rsidP="006A739E">
            <w:pPr>
              <w:rPr>
                <w:b/>
                <w:bCs/>
              </w:rPr>
            </w:pPr>
            <w:r w:rsidRPr="006A739E">
              <w:rPr>
                <w:b/>
                <w:bCs/>
              </w:rPr>
              <w:t>2.2.1 Accessibilité des engins à proximité de l’installation</w:t>
            </w:r>
          </w:p>
        </w:tc>
        <w:tc>
          <w:tcPr>
            <w:tcW w:w="1560" w:type="dxa"/>
          </w:tcPr>
          <w:p w14:paraId="14001343" w14:textId="77777777" w:rsidR="006A739E" w:rsidRPr="006A739E" w:rsidRDefault="006A739E" w:rsidP="006A739E">
            <w:pPr>
              <w:rPr>
                <w:b/>
                <w:bCs/>
              </w:rPr>
            </w:pPr>
          </w:p>
        </w:tc>
        <w:tc>
          <w:tcPr>
            <w:tcW w:w="4501" w:type="dxa"/>
          </w:tcPr>
          <w:p w14:paraId="61EFAE54" w14:textId="77777777" w:rsidR="006A739E" w:rsidRPr="006A739E" w:rsidRDefault="006A739E" w:rsidP="006A739E">
            <w:pPr>
              <w:rPr>
                <w:b/>
                <w:bCs/>
              </w:rPr>
            </w:pPr>
          </w:p>
        </w:tc>
      </w:tr>
      <w:tr w:rsidR="006A739E" w14:paraId="070A379D" w14:textId="77777777" w:rsidTr="00BF254F">
        <w:tc>
          <w:tcPr>
            <w:tcW w:w="7933" w:type="dxa"/>
          </w:tcPr>
          <w:p w14:paraId="6988CA15" w14:textId="6B9611AA" w:rsidR="006A739E" w:rsidRDefault="00BF254F" w:rsidP="006A739E">
            <w:r>
              <w:t>Une voie engin dans l’enceinte de l’établissement, au moins est maintenue dégagée pour la circulation et le croisement sur le périmètre de l’installation et positionnée de façon à ne pas être obstruée par l’effondrement de cette installation et pas les eaux d’extinction.</w:t>
            </w:r>
          </w:p>
        </w:tc>
        <w:tc>
          <w:tcPr>
            <w:tcW w:w="1560" w:type="dxa"/>
            <w:shd w:val="clear" w:color="auto" w:fill="92D050"/>
          </w:tcPr>
          <w:p w14:paraId="3FBD856F" w14:textId="7EA5B67D" w:rsidR="006A739E" w:rsidRPr="006A739E" w:rsidRDefault="00BF254F" w:rsidP="006A739E">
            <w:r>
              <w:t>Conforme</w:t>
            </w:r>
          </w:p>
        </w:tc>
        <w:tc>
          <w:tcPr>
            <w:tcW w:w="4501" w:type="dxa"/>
          </w:tcPr>
          <w:p w14:paraId="64B4CC30" w14:textId="625DC2BE" w:rsidR="006A739E" w:rsidRDefault="00BF254F" w:rsidP="006A739E">
            <w:r>
              <w:t>Voirie carrossable tout autour des 2 bâtiments de stockage.</w:t>
            </w:r>
          </w:p>
        </w:tc>
      </w:tr>
      <w:tr w:rsidR="006A739E" w14:paraId="4EC35741" w14:textId="77777777" w:rsidTr="00BF254F">
        <w:tc>
          <w:tcPr>
            <w:tcW w:w="7933" w:type="dxa"/>
          </w:tcPr>
          <w:p w14:paraId="6E8BD450" w14:textId="77777777" w:rsidR="006A739E" w:rsidRDefault="00BF254F" w:rsidP="006A739E">
            <w:r w:rsidRPr="00BF254F">
              <w:rPr>
                <w:u w:val="single"/>
              </w:rPr>
              <w:t>Cette voie respecte les caractéristiques suivantes</w:t>
            </w:r>
            <w:r>
              <w:t> :</w:t>
            </w:r>
          </w:p>
          <w:p w14:paraId="63A75EE7" w14:textId="3DE138AD" w:rsidR="00BF254F" w:rsidRDefault="00BF254F" w:rsidP="00BF254F">
            <w:pPr>
              <w:pStyle w:val="Paragraphedeliste"/>
              <w:numPr>
                <w:ilvl w:val="0"/>
                <w:numId w:val="1"/>
              </w:numPr>
            </w:pPr>
            <w:r>
              <w:t>Largeur utile minimale de 6 m</w:t>
            </w:r>
          </w:p>
          <w:p w14:paraId="4DA39773" w14:textId="77777777" w:rsidR="00BF254F" w:rsidRDefault="00BF254F" w:rsidP="00BF254F">
            <w:pPr>
              <w:pStyle w:val="Paragraphedeliste"/>
              <w:numPr>
                <w:ilvl w:val="0"/>
                <w:numId w:val="1"/>
              </w:numPr>
            </w:pPr>
            <w:r>
              <w:t>Hauteur libre minimale de 4.5 m</w:t>
            </w:r>
          </w:p>
          <w:p w14:paraId="54C1F336" w14:textId="77777777" w:rsidR="00BF254F" w:rsidRDefault="00BF254F" w:rsidP="00BF254F">
            <w:pPr>
              <w:pStyle w:val="Paragraphedeliste"/>
              <w:numPr>
                <w:ilvl w:val="0"/>
                <w:numId w:val="1"/>
              </w:numPr>
            </w:pPr>
            <w:r>
              <w:t>Pente inférieure à 15%</w:t>
            </w:r>
          </w:p>
          <w:p w14:paraId="58A43A6D" w14:textId="77777777" w:rsidR="00BF254F" w:rsidRDefault="00BF254F" w:rsidP="00BF254F">
            <w:pPr>
              <w:pStyle w:val="Paragraphedeliste"/>
              <w:numPr>
                <w:ilvl w:val="0"/>
                <w:numId w:val="1"/>
              </w:numPr>
            </w:pPr>
            <w:r>
              <w:t>Dans les virages, rayon intérieur inférieur à 50 m, rayon intérieur R minimal de 13 m et une surlargeur de S=15/R</w:t>
            </w:r>
          </w:p>
          <w:p w14:paraId="5FE4AF32" w14:textId="2B94053F" w:rsidR="00BF254F" w:rsidRDefault="00BF254F" w:rsidP="00BF254F">
            <w:pPr>
              <w:pStyle w:val="Paragraphedeliste"/>
              <w:numPr>
                <w:ilvl w:val="0"/>
                <w:numId w:val="1"/>
              </w:numPr>
            </w:pPr>
            <w:r>
              <w:t xml:space="preserve">Voir résistante à la force pour un véhicule de 320 </w:t>
            </w:r>
            <w:proofErr w:type="spellStart"/>
            <w:r>
              <w:t>Kn</w:t>
            </w:r>
            <w:proofErr w:type="spellEnd"/>
          </w:p>
          <w:p w14:paraId="2E044446" w14:textId="03A41D78" w:rsidR="00BF254F" w:rsidRDefault="00BF254F" w:rsidP="00BF254F">
            <w:pPr>
              <w:pStyle w:val="Paragraphedeliste"/>
              <w:numPr>
                <w:ilvl w:val="0"/>
                <w:numId w:val="1"/>
              </w:numPr>
            </w:pPr>
            <w:r>
              <w:t>Chaque point du périmètre de l’installation est à une distance maximale de 60 mètres de la voie</w:t>
            </w:r>
          </w:p>
        </w:tc>
        <w:tc>
          <w:tcPr>
            <w:tcW w:w="1560" w:type="dxa"/>
            <w:shd w:val="clear" w:color="auto" w:fill="92D050"/>
          </w:tcPr>
          <w:p w14:paraId="74BBFAC8" w14:textId="4DD2FD8B" w:rsidR="006A739E" w:rsidRPr="006A739E" w:rsidRDefault="00BF254F" w:rsidP="006A739E">
            <w:r>
              <w:t>Conforme</w:t>
            </w:r>
          </w:p>
        </w:tc>
        <w:tc>
          <w:tcPr>
            <w:tcW w:w="4501" w:type="dxa"/>
          </w:tcPr>
          <w:p w14:paraId="6A90C430" w14:textId="18ED7C32" w:rsidR="006A739E" w:rsidRDefault="00BF254F" w:rsidP="006A739E">
            <w:r>
              <w:t>Voirie carrossable tout autour des 2 bâtiments de stockage.</w:t>
            </w:r>
          </w:p>
        </w:tc>
      </w:tr>
      <w:tr w:rsidR="006A739E" w:rsidRPr="00BF254F" w14:paraId="799DBEBD" w14:textId="77777777" w:rsidTr="006A739E">
        <w:tc>
          <w:tcPr>
            <w:tcW w:w="7933" w:type="dxa"/>
          </w:tcPr>
          <w:p w14:paraId="36F72F15" w14:textId="25B81C6E" w:rsidR="006A739E" w:rsidRPr="00BF254F" w:rsidRDefault="00BF254F" w:rsidP="006A739E">
            <w:pPr>
              <w:rPr>
                <w:b/>
                <w:bCs/>
              </w:rPr>
            </w:pPr>
            <w:r w:rsidRPr="00BF254F">
              <w:rPr>
                <w:b/>
                <w:bCs/>
              </w:rPr>
              <w:t>2.2.3 Mise en station des échelles</w:t>
            </w:r>
          </w:p>
        </w:tc>
        <w:tc>
          <w:tcPr>
            <w:tcW w:w="1560" w:type="dxa"/>
          </w:tcPr>
          <w:p w14:paraId="43D603A2" w14:textId="77777777" w:rsidR="006A739E" w:rsidRPr="00BF254F" w:rsidRDefault="006A739E" w:rsidP="006A739E">
            <w:pPr>
              <w:rPr>
                <w:b/>
                <w:bCs/>
              </w:rPr>
            </w:pPr>
          </w:p>
        </w:tc>
        <w:tc>
          <w:tcPr>
            <w:tcW w:w="4501" w:type="dxa"/>
          </w:tcPr>
          <w:p w14:paraId="045630E0" w14:textId="77777777" w:rsidR="006A739E" w:rsidRPr="00BF254F" w:rsidRDefault="006A739E" w:rsidP="006A739E">
            <w:pPr>
              <w:rPr>
                <w:b/>
                <w:bCs/>
              </w:rPr>
            </w:pPr>
          </w:p>
        </w:tc>
      </w:tr>
      <w:tr w:rsidR="00BF254F" w14:paraId="6714A180" w14:textId="77777777" w:rsidTr="00BF254F">
        <w:tc>
          <w:tcPr>
            <w:tcW w:w="7933" w:type="dxa"/>
          </w:tcPr>
          <w:p w14:paraId="7B19E600" w14:textId="6613C784" w:rsidR="00BF254F" w:rsidRDefault="00BF254F" w:rsidP="00BE719D">
            <w:r>
              <w:t>Chaque cellule a au moins une façade accessible desservie par une voie.</w:t>
            </w:r>
          </w:p>
        </w:tc>
        <w:tc>
          <w:tcPr>
            <w:tcW w:w="1560" w:type="dxa"/>
            <w:shd w:val="clear" w:color="auto" w:fill="92D050"/>
          </w:tcPr>
          <w:p w14:paraId="2B9981EA" w14:textId="0779004E" w:rsidR="00BF254F" w:rsidRPr="006A739E" w:rsidRDefault="00BF254F" w:rsidP="00BE719D">
            <w:r>
              <w:t>Conforme</w:t>
            </w:r>
          </w:p>
        </w:tc>
        <w:tc>
          <w:tcPr>
            <w:tcW w:w="4501" w:type="dxa"/>
          </w:tcPr>
          <w:p w14:paraId="3B19C7D9" w14:textId="16510B80" w:rsidR="00BF254F" w:rsidRDefault="00BF254F" w:rsidP="00BE719D">
            <w:r>
              <w:t>Voirie carrossable tout autour des 2 bâtiments de stockage.</w:t>
            </w:r>
          </w:p>
        </w:tc>
      </w:tr>
      <w:tr w:rsidR="00BF254F" w14:paraId="717B54E6" w14:textId="77777777" w:rsidTr="00BF254F">
        <w:tc>
          <w:tcPr>
            <w:tcW w:w="7933" w:type="dxa"/>
          </w:tcPr>
          <w:p w14:paraId="1D84AB41" w14:textId="5C746B29" w:rsidR="00BF254F" w:rsidRDefault="00BF254F" w:rsidP="00BE719D">
            <w:r>
              <w:t>La voie respecte l’ensemble des prescriptions dimensionnelles.</w:t>
            </w:r>
          </w:p>
        </w:tc>
        <w:tc>
          <w:tcPr>
            <w:tcW w:w="1560" w:type="dxa"/>
            <w:shd w:val="clear" w:color="auto" w:fill="92D050"/>
          </w:tcPr>
          <w:p w14:paraId="05AAAAD8" w14:textId="5FCB05DF" w:rsidR="00BF254F" w:rsidRPr="006A739E" w:rsidRDefault="00BF254F" w:rsidP="00BE719D">
            <w:r>
              <w:t xml:space="preserve">Conforme </w:t>
            </w:r>
          </w:p>
        </w:tc>
        <w:tc>
          <w:tcPr>
            <w:tcW w:w="4501" w:type="dxa"/>
          </w:tcPr>
          <w:p w14:paraId="7F68C5DB" w14:textId="77777777" w:rsidR="00BF254F" w:rsidRDefault="00BF254F" w:rsidP="00BE719D"/>
        </w:tc>
      </w:tr>
      <w:tr w:rsidR="00BF254F" w:rsidRPr="00BF254F" w14:paraId="174FCBEF" w14:textId="77777777" w:rsidTr="00BF254F">
        <w:tc>
          <w:tcPr>
            <w:tcW w:w="7933" w:type="dxa"/>
          </w:tcPr>
          <w:p w14:paraId="2374DC97" w14:textId="0B79E57F" w:rsidR="00BF254F" w:rsidRPr="00BF254F" w:rsidRDefault="00BF254F" w:rsidP="00BE719D">
            <w:pPr>
              <w:rPr>
                <w:b/>
                <w:bCs/>
              </w:rPr>
            </w:pPr>
            <w:r w:rsidRPr="00BF254F">
              <w:rPr>
                <w:b/>
                <w:bCs/>
              </w:rPr>
              <w:t>2.2.4 Etablissement du dispositif hydraulique depuis les engins</w:t>
            </w:r>
          </w:p>
        </w:tc>
        <w:tc>
          <w:tcPr>
            <w:tcW w:w="1560" w:type="dxa"/>
          </w:tcPr>
          <w:p w14:paraId="553F4906" w14:textId="77777777" w:rsidR="00BF254F" w:rsidRPr="00BF254F" w:rsidRDefault="00BF254F" w:rsidP="00BE719D">
            <w:pPr>
              <w:rPr>
                <w:b/>
                <w:bCs/>
              </w:rPr>
            </w:pPr>
          </w:p>
        </w:tc>
        <w:tc>
          <w:tcPr>
            <w:tcW w:w="4501" w:type="dxa"/>
          </w:tcPr>
          <w:p w14:paraId="77E13F8C" w14:textId="77777777" w:rsidR="00BF254F" w:rsidRPr="00BF254F" w:rsidRDefault="00BF254F" w:rsidP="00BE719D">
            <w:pPr>
              <w:rPr>
                <w:b/>
                <w:bCs/>
              </w:rPr>
            </w:pPr>
          </w:p>
        </w:tc>
      </w:tr>
      <w:tr w:rsidR="00BF254F" w14:paraId="61668C0E" w14:textId="77777777" w:rsidTr="00992E2A">
        <w:tc>
          <w:tcPr>
            <w:tcW w:w="7933" w:type="dxa"/>
          </w:tcPr>
          <w:p w14:paraId="599DCE78" w14:textId="277F6B55" w:rsidR="00BF254F" w:rsidRDefault="00BF254F" w:rsidP="00BE719D">
            <w:r>
              <w:t xml:space="preserve">A partir de chaque voie engin et/ou échelle, </w:t>
            </w:r>
            <w:r w:rsidR="00992E2A">
              <w:t>un accès aux issues du bâtiment ou l’installation est prévu</w:t>
            </w:r>
          </w:p>
        </w:tc>
        <w:tc>
          <w:tcPr>
            <w:tcW w:w="1560" w:type="dxa"/>
            <w:shd w:val="clear" w:color="auto" w:fill="92D050"/>
          </w:tcPr>
          <w:p w14:paraId="1606ACC9" w14:textId="56CBFE1A" w:rsidR="00BF254F" w:rsidRPr="006A739E" w:rsidRDefault="00992E2A" w:rsidP="00BE719D">
            <w:r>
              <w:t>Conforme</w:t>
            </w:r>
          </w:p>
        </w:tc>
        <w:tc>
          <w:tcPr>
            <w:tcW w:w="4501" w:type="dxa"/>
          </w:tcPr>
          <w:p w14:paraId="2BF76E31" w14:textId="77777777" w:rsidR="00BF254F" w:rsidRDefault="00992E2A" w:rsidP="00BE719D">
            <w:r>
              <w:t>Bâtiment de stockage ouvert sur 100% de son périmètre.</w:t>
            </w:r>
          </w:p>
          <w:p w14:paraId="191F50AC" w14:textId="207D031B" w:rsidR="00992E2A" w:rsidRDefault="00992E2A" w:rsidP="00BE719D">
            <w:r>
              <w:t xml:space="preserve">Les 2 bâtiments de stockage sont éloignés de plus de </w:t>
            </w:r>
            <w:r w:rsidR="006C60AF">
              <w:t>6</w:t>
            </w:r>
            <w:r>
              <w:t>0 mètres.</w:t>
            </w:r>
          </w:p>
        </w:tc>
      </w:tr>
      <w:tr w:rsidR="00BF254F" w:rsidRPr="00992E2A" w14:paraId="69E478DD" w14:textId="77777777" w:rsidTr="00BE719D">
        <w:tc>
          <w:tcPr>
            <w:tcW w:w="7933" w:type="dxa"/>
          </w:tcPr>
          <w:p w14:paraId="3617F06B" w14:textId="3654F76E" w:rsidR="00BF254F" w:rsidRPr="00992E2A" w:rsidRDefault="00992E2A" w:rsidP="00BE719D">
            <w:pPr>
              <w:rPr>
                <w:b/>
                <w:bCs/>
              </w:rPr>
            </w:pPr>
            <w:r w:rsidRPr="00992E2A">
              <w:rPr>
                <w:b/>
                <w:bCs/>
              </w:rPr>
              <w:t>2.2.5 Accès au dépôt des secours</w:t>
            </w:r>
          </w:p>
        </w:tc>
        <w:tc>
          <w:tcPr>
            <w:tcW w:w="1560" w:type="dxa"/>
          </w:tcPr>
          <w:p w14:paraId="4F6F11F6" w14:textId="77777777" w:rsidR="00BF254F" w:rsidRPr="00992E2A" w:rsidRDefault="00BF254F" w:rsidP="00BE719D">
            <w:pPr>
              <w:rPr>
                <w:b/>
                <w:bCs/>
              </w:rPr>
            </w:pPr>
          </w:p>
        </w:tc>
        <w:tc>
          <w:tcPr>
            <w:tcW w:w="4501" w:type="dxa"/>
          </w:tcPr>
          <w:p w14:paraId="7310E314" w14:textId="77777777" w:rsidR="00BF254F" w:rsidRPr="00992E2A" w:rsidRDefault="00BF254F" w:rsidP="00BE719D">
            <w:pPr>
              <w:rPr>
                <w:b/>
                <w:bCs/>
              </w:rPr>
            </w:pPr>
          </w:p>
        </w:tc>
      </w:tr>
      <w:tr w:rsidR="00BF254F" w14:paraId="21F04A6C" w14:textId="77777777" w:rsidTr="00992E2A">
        <w:tc>
          <w:tcPr>
            <w:tcW w:w="7933" w:type="dxa"/>
          </w:tcPr>
          <w:p w14:paraId="7CFDA733" w14:textId="4A52913E" w:rsidR="00BF254F" w:rsidRDefault="00992E2A" w:rsidP="00BE719D">
            <w:r>
              <w:t>Les accès à l’installation permettent l’’intervention rapide des services de secours.</w:t>
            </w:r>
          </w:p>
        </w:tc>
        <w:tc>
          <w:tcPr>
            <w:tcW w:w="1560" w:type="dxa"/>
            <w:shd w:val="clear" w:color="auto" w:fill="92D050"/>
          </w:tcPr>
          <w:p w14:paraId="2A044577" w14:textId="10AA481E" w:rsidR="00BF254F" w:rsidRPr="006A739E" w:rsidRDefault="00992E2A" w:rsidP="00BE719D">
            <w:r>
              <w:t>Conforme</w:t>
            </w:r>
          </w:p>
        </w:tc>
        <w:tc>
          <w:tcPr>
            <w:tcW w:w="4501" w:type="dxa"/>
          </w:tcPr>
          <w:p w14:paraId="00E9BC7A" w14:textId="0EA59E74" w:rsidR="00BF254F" w:rsidRDefault="00992E2A" w:rsidP="00BE719D">
            <w:r>
              <w:t>1 accès unique à l’installation.</w:t>
            </w:r>
          </w:p>
        </w:tc>
      </w:tr>
    </w:tbl>
    <w:p w14:paraId="708A1582" w14:textId="0A86FE35" w:rsidR="00F90D7F" w:rsidRDefault="00F90D7F"/>
    <w:p w14:paraId="77D2F6A4" w14:textId="77777777" w:rsidR="00F90D7F" w:rsidRDefault="00F90D7F">
      <w:r>
        <w:br w:type="page"/>
      </w:r>
    </w:p>
    <w:p w14:paraId="0DEE5030" w14:textId="77777777" w:rsidR="00AE0743" w:rsidRDefault="00AE0743"/>
    <w:tbl>
      <w:tblPr>
        <w:tblStyle w:val="Grilledutableau"/>
        <w:tblW w:w="0" w:type="auto"/>
        <w:tblLook w:val="04A0" w:firstRow="1" w:lastRow="0" w:firstColumn="1" w:lastColumn="0" w:noHBand="0" w:noVBand="1"/>
      </w:tblPr>
      <w:tblGrid>
        <w:gridCol w:w="7933"/>
        <w:gridCol w:w="1560"/>
        <w:gridCol w:w="4501"/>
      </w:tblGrid>
      <w:tr w:rsidR="00992E2A" w:rsidRPr="002702C6" w14:paraId="65060688" w14:textId="77777777" w:rsidTr="00BE719D">
        <w:tc>
          <w:tcPr>
            <w:tcW w:w="7933" w:type="dxa"/>
            <w:shd w:val="clear" w:color="auto" w:fill="AEAAAA" w:themeFill="background2" w:themeFillShade="BF"/>
          </w:tcPr>
          <w:p w14:paraId="306456BA" w14:textId="7DE62080" w:rsidR="00992E2A" w:rsidRPr="002702C6" w:rsidRDefault="00992E2A" w:rsidP="00BE719D">
            <w:pPr>
              <w:rPr>
                <w:b/>
                <w:bCs/>
              </w:rPr>
            </w:pPr>
            <w:r>
              <w:rPr>
                <w:b/>
                <w:bCs/>
              </w:rPr>
              <w:t>Dispositions relatives aux dépôts couverts</w:t>
            </w:r>
          </w:p>
        </w:tc>
        <w:tc>
          <w:tcPr>
            <w:tcW w:w="1560" w:type="dxa"/>
            <w:shd w:val="clear" w:color="auto" w:fill="AEAAAA" w:themeFill="background2" w:themeFillShade="BF"/>
          </w:tcPr>
          <w:p w14:paraId="145FF278" w14:textId="77777777" w:rsidR="00992E2A" w:rsidRPr="002702C6" w:rsidRDefault="00992E2A" w:rsidP="00BE719D">
            <w:pPr>
              <w:rPr>
                <w:b/>
                <w:bCs/>
              </w:rPr>
            </w:pPr>
          </w:p>
        </w:tc>
        <w:tc>
          <w:tcPr>
            <w:tcW w:w="4501" w:type="dxa"/>
            <w:shd w:val="clear" w:color="auto" w:fill="AEAAAA" w:themeFill="background2" w:themeFillShade="BF"/>
          </w:tcPr>
          <w:p w14:paraId="3FE5915A" w14:textId="77777777" w:rsidR="00992E2A" w:rsidRPr="002702C6" w:rsidRDefault="00992E2A" w:rsidP="00BE719D">
            <w:pPr>
              <w:rPr>
                <w:b/>
                <w:bCs/>
              </w:rPr>
            </w:pPr>
          </w:p>
        </w:tc>
      </w:tr>
      <w:tr w:rsidR="00992E2A" w:rsidRPr="00672A69" w14:paraId="1C6AF74F" w14:textId="77777777" w:rsidTr="00BE719D">
        <w:tc>
          <w:tcPr>
            <w:tcW w:w="7933" w:type="dxa"/>
          </w:tcPr>
          <w:p w14:paraId="33356B45" w14:textId="50E8BA0A" w:rsidR="00992E2A" w:rsidRPr="00672A69" w:rsidRDefault="00992E2A" w:rsidP="00BE719D">
            <w:pPr>
              <w:rPr>
                <w:b/>
                <w:bCs/>
              </w:rPr>
            </w:pPr>
            <w:r w:rsidRPr="00992E2A">
              <w:rPr>
                <w:b/>
                <w:bCs/>
                <w:u w:val="single"/>
              </w:rPr>
              <w:t>Rappel</w:t>
            </w:r>
            <w:r>
              <w:rPr>
                <w:b/>
                <w:bCs/>
              </w:rPr>
              <w:t xml:space="preserve"> : les 2 bâtiments de stockage sont couverts lais ouverts sur 100% de leur périmètre, ils </w:t>
            </w:r>
            <w:proofErr w:type="gramStart"/>
            <w:r>
              <w:rPr>
                <w:b/>
                <w:bCs/>
              </w:rPr>
              <w:t>ne sont</w:t>
            </w:r>
            <w:proofErr w:type="gramEnd"/>
            <w:r>
              <w:rPr>
                <w:b/>
                <w:bCs/>
              </w:rPr>
              <w:t xml:space="preserve"> donc pas concernés les articles suivants.</w:t>
            </w:r>
          </w:p>
        </w:tc>
        <w:tc>
          <w:tcPr>
            <w:tcW w:w="1560" w:type="dxa"/>
          </w:tcPr>
          <w:p w14:paraId="23610412" w14:textId="77777777" w:rsidR="00992E2A" w:rsidRPr="00672A69" w:rsidRDefault="00992E2A" w:rsidP="00BE719D">
            <w:pPr>
              <w:rPr>
                <w:b/>
                <w:bCs/>
              </w:rPr>
            </w:pPr>
          </w:p>
        </w:tc>
        <w:tc>
          <w:tcPr>
            <w:tcW w:w="4501" w:type="dxa"/>
          </w:tcPr>
          <w:p w14:paraId="5BE5DD63" w14:textId="77777777" w:rsidR="00992E2A" w:rsidRPr="00672A69" w:rsidRDefault="00992E2A" w:rsidP="00BE719D">
            <w:pPr>
              <w:rPr>
                <w:b/>
                <w:bCs/>
              </w:rPr>
            </w:pPr>
          </w:p>
        </w:tc>
      </w:tr>
      <w:tr w:rsidR="00992E2A" w14:paraId="3E9D2041" w14:textId="77777777" w:rsidTr="00992E2A">
        <w:tc>
          <w:tcPr>
            <w:tcW w:w="7933" w:type="dxa"/>
          </w:tcPr>
          <w:p w14:paraId="3133C005" w14:textId="0FC7B1FA" w:rsidR="00992E2A" w:rsidRPr="00992E2A" w:rsidRDefault="00992E2A" w:rsidP="00BE719D">
            <w:pPr>
              <w:rPr>
                <w:b/>
                <w:bCs/>
              </w:rPr>
            </w:pPr>
            <w:r w:rsidRPr="00992E2A">
              <w:rPr>
                <w:b/>
                <w:bCs/>
              </w:rPr>
              <w:t xml:space="preserve">2.2.6 Structure des bâtiments </w:t>
            </w:r>
          </w:p>
        </w:tc>
        <w:tc>
          <w:tcPr>
            <w:tcW w:w="1560" w:type="dxa"/>
            <w:shd w:val="clear" w:color="auto" w:fill="auto"/>
          </w:tcPr>
          <w:p w14:paraId="295A4367" w14:textId="246722FB" w:rsidR="00992E2A" w:rsidRDefault="00992E2A" w:rsidP="00BE719D">
            <w:r>
              <w:t>Non applicable</w:t>
            </w:r>
          </w:p>
        </w:tc>
        <w:tc>
          <w:tcPr>
            <w:tcW w:w="4501" w:type="dxa"/>
          </w:tcPr>
          <w:p w14:paraId="06D89A1E" w14:textId="77777777" w:rsidR="00992E2A" w:rsidRDefault="00992E2A" w:rsidP="00BE719D"/>
        </w:tc>
      </w:tr>
      <w:tr w:rsidR="00992E2A" w14:paraId="7D2259A9" w14:textId="77777777" w:rsidTr="00992E2A">
        <w:tc>
          <w:tcPr>
            <w:tcW w:w="7933" w:type="dxa"/>
          </w:tcPr>
          <w:p w14:paraId="29B3B6CE" w14:textId="3CF581F7" w:rsidR="00992E2A" w:rsidRPr="00992E2A" w:rsidRDefault="00992E2A" w:rsidP="00BE719D">
            <w:pPr>
              <w:rPr>
                <w:b/>
                <w:bCs/>
              </w:rPr>
            </w:pPr>
            <w:r w:rsidRPr="00992E2A">
              <w:rPr>
                <w:b/>
                <w:bCs/>
              </w:rPr>
              <w:t>2.2.7 Cellules</w:t>
            </w:r>
          </w:p>
        </w:tc>
        <w:tc>
          <w:tcPr>
            <w:tcW w:w="1560" w:type="dxa"/>
            <w:shd w:val="clear" w:color="auto" w:fill="auto"/>
          </w:tcPr>
          <w:p w14:paraId="6E78C391" w14:textId="58D832CB" w:rsidR="00992E2A" w:rsidRPr="002702C6" w:rsidRDefault="00992E2A" w:rsidP="00BE719D">
            <w:r>
              <w:t>Non applicable</w:t>
            </w:r>
          </w:p>
        </w:tc>
        <w:tc>
          <w:tcPr>
            <w:tcW w:w="4501" w:type="dxa"/>
          </w:tcPr>
          <w:p w14:paraId="29F37D80" w14:textId="77777777" w:rsidR="00992E2A" w:rsidRDefault="00992E2A" w:rsidP="00BE719D"/>
        </w:tc>
      </w:tr>
      <w:tr w:rsidR="00992E2A" w14:paraId="46646035" w14:textId="77777777" w:rsidTr="00992E2A">
        <w:tc>
          <w:tcPr>
            <w:tcW w:w="7933" w:type="dxa"/>
          </w:tcPr>
          <w:p w14:paraId="32960EDB" w14:textId="63A8FD25" w:rsidR="00992E2A" w:rsidRPr="00992E2A" w:rsidRDefault="00992E2A" w:rsidP="00BE719D">
            <w:pPr>
              <w:rPr>
                <w:b/>
                <w:bCs/>
              </w:rPr>
            </w:pPr>
            <w:r w:rsidRPr="00992E2A">
              <w:rPr>
                <w:b/>
                <w:bCs/>
              </w:rPr>
              <w:t>2.2.8 Cantonnement de désenfumage</w:t>
            </w:r>
          </w:p>
        </w:tc>
        <w:tc>
          <w:tcPr>
            <w:tcW w:w="1560" w:type="dxa"/>
          </w:tcPr>
          <w:p w14:paraId="41C4B902" w14:textId="77777777" w:rsidR="00992E2A" w:rsidRPr="002702C6" w:rsidRDefault="00992E2A" w:rsidP="00BE719D"/>
        </w:tc>
        <w:tc>
          <w:tcPr>
            <w:tcW w:w="4501" w:type="dxa"/>
          </w:tcPr>
          <w:p w14:paraId="32FA4636" w14:textId="77777777" w:rsidR="00992E2A" w:rsidRDefault="00992E2A" w:rsidP="00BE719D"/>
        </w:tc>
      </w:tr>
      <w:tr w:rsidR="00992E2A" w14:paraId="5E16B9E8" w14:textId="77777777" w:rsidTr="00992E2A">
        <w:tc>
          <w:tcPr>
            <w:tcW w:w="7933" w:type="dxa"/>
          </w:tcPr>
          <w:p w14:paraId="13CB9BE3" w14:textId="5CC45347" w:rsidR="00992E2A" w:rsidRPr="008B34EF" w:rsidRDefault="00992E2A" w:rsidP="00BE719D">
            <w:pPr>
              <w:rPr>
                <w:b/>
                <w:bCs/>
              </w:rPr>
            </w:pPr>
            <w:r w:rsidRPr="008B34EF">
              <w:rPr>
                <w:b/>
                <w:bCs/>
              </w:rPr>
              <w:t>2.2.8.1 Cantonnement</w:t>
            </w:r>
          </w:p>
        </w:tc>
        <w:tc>
          <w:tcPr>
            <w:tcW w:w="1560" w:type="dxa"/>
          </w:tcPr>
          <w:p w14:paraId="052803A6" w14:textId="26B86938" w:rsidR="00992E2A" w:rsidRPr="002702C6" w:rsidRDefault="00992E2A" w:rsidP="00BE719D">
            <w:r>
              <w:t>Non applicable</w:t>
            </w:r>
          </w:p>
        </w:tc>
        <w:tc>
          <w:tcPr>
            <w:tcW w:w="4501" w:type="dxa"/>
          </w:tcPr>
          <w:p w14:paraId="6B20A2E9" w14:textId="77777777" w:rsidR="00992E2A" w:rsidRDefault="00992E2A" w:rsidP="00BE719D"/>
        </w:tc>
      </w:tr>
      <w:tr w:rsidR="00992E2A" w14:paraId="354FCF30" w14:textId="77777777" w:rsidTr="00992E2A">
        <w:tc>
          <w:tcPr>
            <w:tcW w:w="7933" w:type="dxa"/>
          </w:tcPr>
          <w:p w14:paraId="28E6DD76" w14:textId="35FE1890" w:rsidR="00992E2A" w:rsidRPr="008B34EF" w:rsidRDefault="00992E2A" w:rsidP="00BE719D">
            <w:pPr>
              <w:rPr>
                <w:b/>
                <w:bCs/>
              </w:rPr>
            </w:pPr>
            <w:r w:rsidRPr="008B34EF">
              <w:rPr>
                <w:b/>
                <w:bCs/>
              </w:rPr>
              <w:t>2.2.8.2 Désenfumage</w:t>
            </w:r>
          </w:p>
        </w:tc>
        <w:tc>
          <w:tcPr>
            <w:tcW w:w="1560" w:type="dxa"/>
          </w:tcPr>
          <w:p w14:paraId="3BCACC16" w14:textId="60DE9C9D" w:rsidR="00992E2A" w:rsidRPr="002702C6" w:rsidRDefault="00992E2A" w:rsidP="00BE719D">
            <w:r>
              <w:t>Non applicable</w:t>
            </w:r>
          </w:p>
        </w:tc>
        <w:tc>
          <w:tcPr>
            <w:tcW w:w="4501" w:type="dxa"/>
          </w:tcPr>
          <w:p w14:paraId="6E04481F" w14:textId="77777777" w:rsidR="00992E2A" w:rsidRDefault="00992E2A" w:rsidP="00BE719D"/>
        </w:tc>
      </w:tr>
      <w:tr w:rsidR="00992E2A" w14:paraId="7391E7BD" w14:textId="77777777" w:rsidTr="00992E2A">
        <w:tc>
          <w:tcPr>
            <w:tcW w:w="7933" w:type="dxa"/>
          </w:tcPr>
          <w:p w14:paraId="51CC3D14" w14:textId="10E3B064" w:rsidR="00992E2A" w:rsidRPr="008B34EF" w:rsidRDefault="00992E2A" w:rsidP="00BE719D">
            <w:pPr>
              <w:rPr>
                <w:b/>
                <w:bCs/>
              </w:rPr>
            </w:pPr>
            <w:r w:rsidRPr="008B34EF">
              <w:rPr>
                <w:b/>
                <w:bCs/>
              </w:rPr>
              <w:t>2.2.8.3 Amenées d’air frais</w:t>
            </w:r>
          </w:p>
        </w:tc>
        <w:tc>
          <w:tcPr>
            <w:tcW w:w="1560" w:type="dxa"/>
          </w:tcPr>
          <w:p w14:paraId="234FFD89" w14:textId="2E5DA433" w:rsidR="00992E2A" w:rsidRPr="002702C6" w:rsidRDefault="00992E2A" w:rsidP="00BE719D">
            <w:r>
              <w:t>Non applicable</w:t>
            </w:r>
          </w:p>
        </w:tc>
        <w:tc>
          <w:tcPr>
            <w:tcW w:w="4501" w:type="dxa"/>
          </w:tcPr>
          <w:p w14:paraId="4EBE3F5E" w14:textId="77777777" w:rsidR="00992E2A" w:rsidRDefault="00992E2A" w:rsidP="00BE719D"/>
        </w:tc>
      </w:tr>
      <w:tr w:rsidR="00992E2A" w14:paraId="4B67461C" w14:textId="77777777" w:rsidTr="00992E2A">
        <w:tc>
          <w:tcPr>
            <w:tcW w:w="7933" w:type="dxa"/>
          </w:tcPr>
          <w:p w14:paraId="2C5254C1" w14:textId="3F642ABC" w:rsidR="00992E2A" w:rsidRPr="008B34EF" w:rsidRDefault="00992E2A" w:rsidP="00BE719D">
            <w:pPr>
              <w:rPr>
                <w:b/>
                <w:bCs/>
              </w:rPr>
            </w:pPr>
            <w:r w:rsidRPr="008B34EF">
              <w:rPr>
                <w:b/>
                <w:bCs/>
              </w:rPr>
              <w:t>2.2.9 Système de détention incendie</w:t>
            </w:r>
          </w:p>
        </w:tc>
        <w:tc>
          <w:tcPr>
            <w:tcW w:w="1560" w:type="dxa"/>
          </w:tcPr>
          <w:p w14:paraId="6D8A4980" w14:textId="00C831BD" w:rsidR="00992E2A" w:rsidRPr="002702C6" w:rsidRDefault="00992E2A" w:rsidP="00BE719D">
            <w:r>
              <w:t>Non applicable</w:t>
            </w:r>
          </w:p>
        </w:tc>
        <w:tc>
          <w:tcPr>
            <w:tcW w:w="4501" w:type="dxa"/>
          </w:tcPr>
          <w:p w14:paraId="6D32A816" w14:textId="77777777" w:rsidR="00992E2A" w:rsidRDefault="00992E2A" w:rsidP="00BE719D"/>
        </w:tc>
      </w:tr>
      <w:tr w:rsidR="00992E2A" w14:paraId="36FE505A" w14:textId="77777777" w:rsidTr="00992E2A">
        <w:tc>
          <w:tcPr>
            <w:tcW w:w="7933" w:type="dxa"/>
          </w:tcPr>
          <w:p w14:paraId="53F96C39" w14:textId="52935366" w:rsidR="00992E2A" w:rsidRPr="008B34EF" w:rsidRDefault="00992E2A" w:rsidP="00BE719D">
            <w:pPr>
              <w:rPr>
                <w:b/>
                <w:bCs/>
              </w:rPr>
            </w:pPr>
            <w:r w:rsidRPr="008B34EF">
              <w:rPr>
                <w:b/>
                <w:bCs/>
              </w:rPr>
              <w:t xml:space="preserve">2.2.10 Système d’extinction automatique </w:t>
            </w:r>
          </w:p>
        </w:tc>
        <w:tc>
          <w:tcPr>
            <w:tcW w:w="1560" w:type="dxa"/>
          </w:tcPr>
          <w:p w14:paraId="22B9AE8F" w14:textId="78F34CE3" w:rsidR="00992E2A" w:rsidRPr="002702C6" w:rsidRDefault="00992E2A" w:rsidP="00BE719D">
            <w:r>
              <w:t>Non applicable</w:t>
            </w:r>
          </w:p>
        </w:tc>
        <w:tc>
          <w:tcPr>
            <w:tcW w:w="4501" w:type="dxa"/>
          </w:tcPr>
          <w:p w14:paraId="486A7459" w14:textId="77777777" w:rsidR="00992E2A" w:rsidRDefault="00992E2A" w:rsidP="00BE719D"/>
        </w:tc>
      </w:tr>
      <w:tr w:rsidR="00992E2A" w14:paraId="7D7885B8" w14:textId="77777777" w:rsidTr="00A7765B">
        <w:tc>
          <w:tcPr>
            <w:tcW w:w="7933" w:type="dxa"/>
          </w:tcPr>
          <w:p w14:paraId="501AE465" w14:textId="4BE7DDB0" w:rsidR="00992E2A" w:rsidRPr="008B34EF" w:rsidRDefault="00992E2A" w:rsidP="00BE719D">
            <w:pPr>
              <w:rPr>
                <w:b/>
                <w:bCs/>
              </w:rPr>
            </w:pPr>
            <w:r w:rsidRPr="008B34EF">
              <w:rPr>
                <w:b/>
                <w:bCs/>
              </w:rPr>
              <w:t xml:space="preserve">2.2.11 Protection contre la foudre </w:t>
            </w:r>
          </w:p>
        </w:tc>
        <w:tc>
          <w:tcPr>
            <w:tcW w:w="1560" w:type="dxa"/>
            <w:shd w:val="clear" w:color="auto" w:fill="auto"/>
          </w:tcPr>
          <w:p w14:paraId="32B8DCD2" w14:textId="59FA6C7E" w:rsidR="00992E2A" w:rsidRPr="002702C6" w:rsidRDefault="00A7765B" w:rsidP="00BE719D">
            <w:r>
              <w:t>Non applicable</w:t>
            </w:r>
          </w:p>
        </w:tc>
        <w:tc>
          <w:tcPr>
            <w:tcW w:w="4501" w:type="dxa"/>
          </w:tcPr>
          <w:p w14:paraId="78FC2DDE" w14:textId="77777777" w:rsidR="00992E2A" w:rsidRDefault="00992E2A" w:rsidP="00BE719D"/>
        </w:tc>
      </w:tr>
      <w:tr w:rsidR="008B34EF" w14:paraId="062919EE" w14:textId="77777777" w:rsidTr="008B34EF">
        <w:trPr>
          <w:trHeight w:val="188"/>
        </w:trPr>
        <w:tc>
          <w:tcPr>
            <w:tcW w:w="7933" w:type="dxa"/>
          </w:tcPr>
          <w:p w14:paraId="5B764C6A" w14:textId="4924BA4A" w:rsidR="008B34EF" w:rsidRPr="008B34EF" w:rsidRDefault="008B34EF" w:rsidP="00BE719D">
            <w:pPr>
              <w:rPr>
                <w:b/>
                <w:bCs/>
              </w:rPr>
            </w:pPr>
            <w:r w:rsidRPr="008B34EF">
              <w:rPr>
                <w:b/>
                <w:bCs/>
              </w:rPr>
              <w:t xml:space="preserve">2.2.12 Installations électriques, éclairage et chauffage </w:t>
            </w:r>
          </w:p>
        </w:tc>
        <w:tc>
          <w:tcPr>
            <w:tcW w:w="1560" w:type="dxa"/>
          </w:tcPr>
          <w:p w14:paraId="645E5AF8" w14:textId="62BF5D1B" w:rsidR="008B34EF" w:rsidRPr="002702C6" w:rsidRDefault="008B34EF" w:rsidP="00BE719D">
            <w:r>
              <w:t>Non applicable</w:t>
            </w:r>
          </w:p>
        </w:tc>
        <w:tc>
          <w:tcPr>
            <w:tcW w:w="4501" w:type="dxa"/>
          </w:tcPr>
          <w:p w14:paraId="12D4BB7B" w14:textId="4CCCA70C" w:rsidR="008B34EF" w:rsidRDefault="008B34EF" w:rsidP="00BE719D">
            <w:r>
              <w:t xml:space="preserve">Il n’y </w:t>
            </w:r>
            <w:r w:rsidR="00A7765B">
              <w:t xml:space="preserve">a </w:t>
            </w:r>
            <w:r>
              <w:t xml:space="preserve">pas sur le site d’installations électriques, </w:t>
            </w:r>
            <w:r w:rsidR="00A7765B">
              <w:t>d’</w:t>
            </w:r>
            <w:r>
              <w:t xml:space="preserve">éclairage et </w:t>
            </w:r>
            <w:r w:rsidR="00A7765B">
              <w:t xml:space="preserve">de </w:t>
            </w:r>
            <w:r>
              <w:t>chauffage</w:t>
            </w:r>
            <w:r w:rsidR="00A7765B">
              <w:t>.</w:t>
            </w:r>
          </w:p>
        </w:tc>
      </w:tr>
    </w:tbl>
    <w:p w14:paraId="16CD6C52" w14:textId="3D379970" w:rsidR="00F90D7F" w:rsidRDefault="00F90D7F"/>
    <w:p w14:paraId="19063BCD" w14:textId="77777777" w:rsidR="00F90D7F" w:rsidRDefault="00F90D7F">
      <w:r>
        <w:br w:type="page"/>
      </w:r>
    </w:p>
    <w:p w14:paraId="67FBAD63" w14:textId="77777777" w:rsidR="00992E2A" w:rsidRDefault="00992E2A"/>
    <w:tbl>
      <w:tblPr>
        <w:tblStyle w:val="Grilledutableau"/>
        <w:tblW w:w="0" w:type="auto"/>
        <w:tblLook w:val="04A0" w:firstRow="1" w:lastRow="0" w:firstColumn="1" w:lastColumn="0" w:noHBand="0" w:noVBand="1"/>
      </w:tblPr>
      <w:tblGrid>
        <w:gridCol w:w="7933"/>
        <w:gridCol w:w="1560"/>
        <w:gridCol w:w="4501"/>
      </w:tblGrid>
      <w:tr w:rsidR="008B34EF" w:rsidRPr="002702C6" w14:paraId="6C5746C3" w14:textId="77777777" w:rsidTr="00BE719D">
        <w:tc>
          <w:tcPr>
            <w:tcW w:w="7933" w:type="dxa"/>
            <w:shd w:val="clear" w:color="auto" w:fill="AEAAAA" w:themeFill="background2" w:themeFillShade="BF"/>
          </w:tcPr>
          <w:p w14:paraId="7ADB4C3F" w14:textId="15FE0949" w:rsidR="008B34EF" w:rsidRPr="002702C6" w:rsidRDefault="008B34EF" w:rsidP="00BE719D">
            <w:pPr>
              <w:rPr>
                <w:b/>
                <w:bCs/>
              </w:rPr>
            </w:pPr>
            <w:r>
              <w:rPr>
                <w:b/>
                <w:bCs/>
              </w:rPr>
              <w:t xml:space="preserve">Dispositions relatives </w:t>
            </w:r>
            <w:r w:rsidR="001C0341">
              <w:rPr>
                <w:b/>
                <w:bCs/>
              </w:rPr>
              <w:t>à l’ensemble des stockages</w:t>
            </w:r>
          </w:p>
        </w:tc>
        <w:tc>
          <w:tcPr>
            <w:tcW w:w="1560" w:type="dxa"/>
            <w:shd w:val="clear" w:color="auto" w:fill="AEAAAA" w:themeFill="background2" w:themeFillShade="BF"/>
          </w:tcPr>
          <w:p w14:paraId="4A09140F" w14:textId="77777777" w:rsidR="008B34EF" w:rsidRPr="002702C6" w:rsidRDefault="008B34EF" w:rsidP="00BE719D">
            <w:pPr>
              <w:rPr>
                <w:b/>
                <w:bCs/>
              </w:rPr>
            </w:pPr>
          </w:p>
        </w:tc>
        <w:tc>
          <w:tcPr>
            <w:tcW w:w="4501" w:type="dxa"/>
            <w:shd w:val="clear" w:color="auto" w:fill="AEAAAA" w:themeFill="background2" w:themeFillShade="BF"/>
          </w:tcPr>
          <w:p w14:paraId="59535100" w14:textId="77777777" w:rsidR="008B34EF" w:rsidRPr="002702C6" w:rsidRDefault="008B34EF" w:rsidP="00BE719D">
            <w:pPr>
              <w:rPr>
                <w:b/>
                <w:bCs/>
              </w:rPr>
            </w:pPr>
          </w:p>
        </w:tc>
      </w:tr>
      <w:tr w:rsidR="008B34EF" w:rsidRPr="00672A69" w14:paraId="071E17B2" w14:textId="77777777" w:rsidTr="00BE719D">
        <w:tc>
          <w:tcPr>
            <w:tcW w:w="7933" w:type="dxa"/>
          </w:tcPr>
          <w:p w14:paraId="6B4297E8" w14:textId="5B104C17" w:rsidR="008B34EF" w:rsidRPr="00672A69" w:rsidRDefault="001C0341" w:rsidP="00BE719D">
            <w:pPr>
              <w:rPr>
                <w:b/>
                <w:bCs/>
              </w:rPr>
            </w:pPr>
            <w:r>
              <w:rPr>
                <w:b/>
                <w:bCs/>
              </w:rPr>
              <w:t>2.2.14 Moyens de lutte contre l’incendie</w:t>
            </w:r>
          </w:p>
        </w:tc>
        <w:tc>
          <w:tcPr>
            <w:tcW w:w="1560" w:type="dxa"/>
          </w:tcPr>
          <w:p w14:paraId="74CA7CDD" w14:textId="77777777" w:rsidR="008B34EF" w:rsidRPr="00672A69" w:rsidRDefault="008B34EF" w:rsidP="00BE719D">
            <w:pPr>
              <w:rPr>
                <w:b/>
                <w:bCs/>
              </w:rPr>
            </w:pPr>
          </w:p>
        </w:tc>
        <w:tc>
          <w:tcPr>
            <w:tcW w:w="4501" w:type="dxa"/>
          </w:tcPr>
          <w:p w14:paraId="1725258C" w14:textId="77777777" w:rsidR="008B34EF" w:rsidRPr="00672A69" w:rsidRDefault="008B34EF" w:rsidP="00BE719D">
            <w:pPr>
              <w:rPr>
                <w:b/>
                <w:bCs/>
              </w:rPr>
            </w:pPr>
          </w:p>
        </w:tc>
      </w:tr>
      <w:tr w:rsidR="008B34EF" w:rsidRPr="001C0341" w14:paraId="1031AE46" w14:textId="77777777" w:rsidTr="001C0341">
        <w:tc>
          <w:tcPr>
            <w:tcW w:w="7933" w:type="dxa"/>
          </w:tcPr>
          <w:p w14:paraId="287FC51B" w14:textId="5CC58D7C" w:rsidR="008B34EF" w:rsidRPr="001C0341" w:rsidRDefault="001C0341" w:rsidP="00BE719D">
            <w:r w:rsidRPr="001C0341">
              <w:t>L’installation est dotée</w:t>
            </w:r>
            <w:r>
              <w:t xml:space="preserve"> de moyens de lutte l’incendie appropriées aux risques.</w:t>
            </w:r>
          </w:p>
        </w:tc>
        <w:tc>
          <w:tcPr>
            <w:tcW w:w="1560" w:type="dxa"/>
            <w:shd w:val="clear" w:color="auto" w:fill="92D050"/>
          </w:tcPr>
          <w:p w14:paraId="48B9748D" w14:textId="36EC18AE" w:rsidR="008B34EF" w:rsidRPr="001C0341" w:rsidRDefault="001C0341" w:rsidP="00BE719D">
            <w:r>
              <w:t>Conforme</w:t>
            </w:r>
          </w:p>
        </w:tc>
        <w:tc>
          <w:tcPr>
            <w:tcW w:w="4501" w:type="dxa"/>
          </w:tcPr>
          <w:p w14:paraId="0DB9139A" w14:textId="23970DD1" w:rsidR="008B34EF" w:rsidRPr="001C0341" w:rsidRDefault="001C0341" w:rsidP="00BE719D">
            <w:r>
              <w:t>Réserve incendie sur site assurant un débit minimum de 120 m3 par heure pendant 2 heures.</w:t>
            </w:r>
          </w:p>
        </w:tc>
      </w:tr>
      <w:tr w:rsidR="008B34EF" w:rsidRPr="001C0341" w14:paraId="6C4F7A21" w14:textId="77777777" w:rsidTr="001C0341">
        <w:tc>
          <w:tcPr>
            <w:tcW w:w="7933" w:type="dxa"/>
          </w:tcPr>
          <w:p w14:paraId="5CF7772A" w14:textId="5C7F0F30" w:rsidR="008B34EF" w:rsidRPr="001C0341" w:rsidRDefault="001C0341" w:rsidP="00BE719D">
            <w:r w:rsidRPr="001C0341">
              <w:t>Dans le trimestre qui suit</w:t>
            </w:r>
            <w:r>
              <w:t xml:space="preserve"> le début de l’exploitation du dépôt, l’exploitant organise un exercices défense contre l’incendie renouvelé tous les 3 ans.</w:t>
            </w:r>
          </w:p>
        </w:tc>
        <w:tc>
          <w:tcPr>
            <w:tcW w:w="1560" w:type="dxa"/>
            <w:shd w:val="clear" w:color="auto" w:fill="FFC000"/>
          </w:tcPr>
          <w:p w14:paraId="1CA367E4" w14:textId="0B192CFC" w:rsidR="008B34EF" w:rsidRPr="001C0341" w:rsidRDefault="001C0341" w:rsidP="00BE719D">
            <w:r>
              <w:t>Point de progrès</w:t>
            </w:r>
          </w:p>
        </w:tc>
        <w:tc>
          <w:tcPr>
            <w:tcW w:w="4501" w:type="dxa"/>
          </w:tcPr>
          <w:p w14:paraId="43D5634E" w14:textId="11C6BCF1" w:rsidR="008B34EF" w:rsidRPr="001C0341" w:rsidRDefault="001C0341" w:rsidP="00BE719D">
            <w:r>
              <w:t>Exercice programmé avec les services de secours.</w:t>
            </w:r>
          </w:p>
        </w:tc>
      </w:tr>
      <w:tr w:rsidR="008B34EF" w14:paraId="0F46CAC1" w14:textId="77777777" w:rsidTr="00BE719D">
        <w:tc>
          <w:tcPr>
            <w:tcW w:w="7933" w:type="dxa"/>
          </w:tcPr>
          <w:p w14:paraId="400D392D" w14:textId="24E8F43C" w:rsidR="008B34EF" w:rsidRPr="00992E2A" w:rsidRDefault="001C0341" w:rsidP="00BE719D">
            <w:pPr>
              <w:rPr>
                <w:b/>
                <w:bCs/>
              </w:rPr>
            </w:pPr>
            <w:r>
              <w:rPr>
                <w:b/>
                <w:bCs/>
              </w:rPr>
              <w:t>2.2.15 Cuvettes de rétention</w:t>
            </w:r>
          </w:p>
        </w:tc>
        <w:tc>
          <w:tcPr>
            <w:tcW w:w="1560" w:type="dxa"/>
          </w:tcPr>
          <w:p w14:paraId="5657507C" w14:textId="77777777" w:rsidR="008B34EF" w:rsidRPr="002702C6" w:rsidRDefault="008B34EF" w:rsidP="00BE719D"/>
        </w:tc>
        <w:tc>
          <w:tcPr>
            <w:tcW w:w="4501" w:type="dxa"/>
          </w:tcPr>
          <w:p w14:paraId="6EB7766B" w14:textId="77777777" w:rsidR="008B34EF" w:rsidRDefault="008B34EF" w:rsidP="00BE719D"/>
        </w:tc>
      </w:tr>
      <w:tr w:rsidR="008B34EF" w:rsidRPr="001C0341" w14:paraId="0DDDE8EF" w14:textId="77777777" w:rsidTr="001C0341">
        <w:tc>
          <w:tcPr>
            <w:tcW w:w="7933" w:type="dxa"/>
          </w:tcPr>
          <w:p w14:paraId="29DD0689" w14:textId="2FE9E699" w:rsidR="008B34EF" w:rsidRPr="001C0341" w:rsidRDefault="001C0341" w:rsidP="00BE719D">
            <w:r w:rsidRPr="001C0341">
              <w:t>Tout stockage d</w:t>
            </w:r>
            <w:r>
              <w:t xml:space="preserve">e </w:t>
            </w:r>
            <w:r w:rsidRPr="001C0341">
              <w:t>produi</w:t>
            </w:r>
            <w:r>
              <w:t>ts liquides susceptibles de créer une pollution de l’eau ou des sols est associé à une capacité de rétention.</w:t>
            </w:r>
          </w:p>
        </w:tc>
        <w:tc>
          <w:tcPr>
            <w:tcW w:w="1560" w:type="dxa"/>
            <w:shd w:val="clear" w:color="auto" w:fill="FFC000"/>
          </w:tcPr>
          <w:p w14:paraId="1F5086FE" w14:textId="75532531" w:rsidR="008B34EF" w:rsidRPr="001C0341" w:rsidRDefault="001C0341" w:rsidP="00BE719D">
            <w:r>
              <w:t>Point de progrès</w:t>
            </w:r>
          </w:p>
        </w:tc>
        <w:tc>
          <w:tcPr>
            <w:tcW w:w="4501" w:type="dxa"/>
          </w:tcPr>
          <w:p w14:paraId="4629C605" w14:textId="77777777" w:rsidR="008B34EF" w:rsidRDefault="001C0341" w:rsidP="00BE719D">
            <w:r>
              <w:t>Absence de produits liquides susceptibles de provoquer une pollution.</w:t>
            </w:r>
          </w:p>
          <w:p w14:paraId="6F579437" w14:textId="375BFF8A" w:rsidR="001C0341" w:rsidRPr="001C0341" w:rsidRDefault="001C0341" w:rsidP="00BE719D">
            <w:r>
              <w:t>Mise en place sur site d’un kit antipollution pendant la période de moisson (stockage de la pailles ou opérations de chargement).</w:t>
            </w:r>
          </w:p>
        </w:tc>
      </w:tr>
      <w:tr w:rsidR="008B34EF" w14:paraId="57B21D20" w14:textId="77777777" w:rsidTr="00BE719D">
        <w:tc>
          <w:tcPr>
            <w:tcW w:w="7933" w:type="dxa"/>
          </w:tcPr>
          <w:p w14:paraId="153DE27B" w14:textId="16B7942D" w:rsidR="008B34EF" w:rsidRPr="008B34EF" w:rsidRDefault="001C0341" w:rsidP="00BE719D">
            <w:pPr>
              <w:rPr>
                <w:b/>
                <w:bCs/>
              </w:rPr>
            </w:pPr>
            <w:r>
              <w:rPr>
                <w:b/>
                <w:bCs/>
              </w:rPr>
              <w:t>2.2.16 Rétention des aires et locaux de travail et isolement de réseau de collecte</w:t>
            </w:r>
          </w:p>
        </w:tc>
        <w:tc>
          <w:tcPr>
            <w:tcW w:w="1560" w:type="dxa"/>
          </w:tcPr>
          <w:p w14:paraId="0226515E" w14:textId="4EECBF2C" w:rsidR="008B34EF" w:rsidRPr="002702C6" w:rsidRDefault="008B34EF" w:rsidP="00BE719D"/>
        </w:tc>
        <w:tc>
          <w:tcPr>
            <w:tcW w:w="4501" w:type="dxa"/>
          </w:tcPr>
          <w:p w14:paraId="130C3DF8" w14:textId="77777777" w:rsidR="008B34EF" w:rsidRDefault="008B34EF" w:rsidP="00BE719D"/>
        </w:tc>
      </w:tr>
      <w:tr w:rsidR="008B34EF" w14:paraId="6431D235" w14:textId="77777777" w:rsidTr="00BE719D">
        <w:tc>
          <w:tcPr>
            <w:tcW w:w="7933" w:type="dxa"/>
          </w:tcPr>
          <w:p w14:paraId="671430C9" w14:textId="7583B59B" w:rsidR="008B34EF" w:rsidRPr="00D96A4E" w:rsidRDefault="001C0341" w:rsidP="00BE719D">
            <w:r w:rsidRPr="00D96A4E">
              <w:t>Le sol des aires et des locaux de stockage ou de manipulation de matières dangereuses</w:t>
            </w:r>
            <w:r w:rsidR="00D96A4E" w:rsidRPr="00D96A4E">
              <w:t xml:space="preserve"> est étanche et équiper de manière à recueillir les eaux de lavage et les matières répandues.</w:t>
            </w:r>
          </w:p>
        </w:tc>
        <w:tc>
          <w:tcPr>
            <w:tcW w:w="1560" w:type="dxa"/>
          </w:tcPr>
          <w:p w14:paraId="0CA078E6" w14:textId="62D6EA0E" w:rsidR="008B34EF" w:rsidRPr="002702C6" w:rsidRDefault="00D96A4E" w:rsidP="00BE719D">
            <w:r>
              <w:t>Non applicable</w:t>
            </w:r>
          </w:p>
        </w:tc>
        <w:tc>
          <w:tcPr>
            <w:tcW w:w="4501" w:type="dxa"/>
          </w:tcPr>
          <w:p w14:paraId="034AB5EC" w14:textId="5926B766" w:rsidR="008B34EF" w:rsidRDefault="00D96A4E" w:rsidP="00BE719D">
            <w:r>
              <w:t>Absence de matières dangereuse sur site.</w:t>
            </w:r>
          </w:p>
        </w:tc>
      </w:tr>
      <w:tr w:rsidR="008B34EF" w14:paraId="28C5A338" w14:textId="77777777" w:rsidTr="00D96A4E">
        <w:tc>
          <w:tcPr>
            <w:tcW w:w="7933" w:type="dxa"/>
          </w:tcPr>
          <w:p w14:paraId="665A334A" w14:textId="72D2FCCB" w:rsidR="008B34EF" w:rsidRPr="00D96A4E" w:rsidRDefault="00D96A4E" w:rsidP="00BE719D">
            <w:r w:rsidRPr="00D96A4E">
              <w:t>Toutes les mesures sont prises pour recueillir l’ensemble des eaux en cas de sini</w:t>
            </w:r>
            <w:r>
              <w:t>s</w:t>
            </w:r>
            <w:r w:rsidRPr="00D96A4E">
              <w:t>tre.</w:t>
            </w:r>
          </w:p>
        </w:tc>
        <w:tc>
          <w:tcPr>
            <w:tcW w:w="1560" w:type="dxa"/>
            <w:shd w:val="clear" w:color="auto" w:fill="92D050"/>
          </w:tcPr>
          <w:p w14:paraId="2D6E8E47" w14:textId="69EBE4EB" w:rsidR="008B34EF" w:rsidRPr="002702C6" w:rsidRDefault="00D96A4E" w:rsidP="00BE719D">
            <w:r>
              <w:t>Conforme</w:t>
            </w:r>
          </w:p>
        </w:tc>
        <w:tc>
          <w:tcPr>
            <w:tcW w:w="4501" w:type="dxa"/>
          </w:tcPr>
          <w:p w14:paraId="0554FEF5" w14:textId="2C4A06A1" w:rsidR="008B34EF" w:rsidRDefault="00D96A4E" w:rsidP="00BE719D">
            <w:r>
              <w:t>Point bas sur le terrain avec lagune de récupération.</w:t>
            </w:r>
          </w:p>
        </w:tc>
      </w:tr>
      <w:tr w:rsidR="008B34EF" w14:paraId="3365F7CE" w14:textId="77777777" w:rsidTr="00D96A4E">
        <w:tc>
          <w:tcPr>
            <w:tcW w:w="7933" w:type="dxa"/>
            <w:shd w:val="clear" w:color="auto" w:fill="AEAAAA" w:themeFill="background2" w:themeFillShade="BF"/>
          </w:tcPr>
          <w:p w14:paraId="4113673F" w14:textId="1812F8EC" w:rsidR="008B34EF" w:rsidRPr="008B34EF" w:rsidRDefault="00D96A4E" w:rsidP="00BE719D">
            <w:pPr>
              <w:rPr>
                <w:b/>
                <w:bCs/>
              </w:rPr>
            </w:pPr>
            <w:r>
              <w:rPr>
                <w:b/>
                <w:bCs/>
              </w:rPr>
              <w:t>2.3 Recensement des potentiels de danger</w:t>
            </w:r>
          </w:p>
        </w:tc>
        <w:tc>
          <w:tcPr>
            <w:tcW w:w="1560" w:type="dxa"/>
            <w:shd w:val="clear" w:color="auto" w:fill="auto"/>
          </w:tcPr>
          <w:p w14:paraId="206CB5CE" w14:textId="2519DEAE" w:rsidR="008B34EF" w:rsidRPr="002702C6" w:rsidRDefault="00D96A4E" w:rsidP="00BE719D">
            <w:r>
              <w:t>Non applicable</w:t>
            </w:r>
          </w:p>
        </w:tc>
        <w:tc>
          <w:tcPr>
            <w:tcW w:w="4501" w:type="dxa"/>
            <w:shd w:val="clear" w:color="auto" w:fill="auto"/>
          </w:tcPr>
          <w:p w14:paraId="0587521E" w14:textId="262FCEDC" w:rsidR="008B34EF" w:rsidRDefault="00D96A4E" w:rsidP="00BE719D">
            <w:r>
              <w:t>Absence de matières dangereuses sur site.</w:t>
            </w:r>
          </w:p>
        </w:tc>
      </w:tr>
      <w:tr w:rsidR="00D96A4E" w:rsidRPr="00D96A4E" w14:paraId="46CEA790" w14:textId="77777777" w:rsidTr="00D96A4E">
        <w:tc>
          <w:tcPr>
            <w:tcW w:w="7933" w:type="dxa"/>
            <w:shd w:val="clear" w:color="auto" w:fill="auto"/>
          </w:tcPr>
          <w:p w14:paraId="69E0686F" w14:textId="286CC153" w:rsidR="008B34EF" w:rsidRPr="00D96A4E" w:rsidRDefault="00D96A4E" w:rsidP="00BE719D">
            <w:pPr>
              <w:rPr>
                <w:b/>
                <w:bCs/>
              </w:rPr>
            </w:pPr>
            <w:r w:rsidRPr="00D96A4E">
              <w:rPr>
                <w:b/>
                <w:bCs/>
              </w:rPr>
              <w:t>2.3.1 Connaissance des produits - Etiquetage</w:t>
            </w:r>
          </w:p>
        </w:tc>
        <w:tc>
          <w:tcPr>
            <w:tcW w:w="1560" w:type="dxa"/>
            <w:shd w:val="clear" w:color="auto" w:fill="auto"/>
          </w:tcPr>
          <w:p w14:paraId="611358EB" w14:textId="627F2719" w:rsidR="008B34EF" w:rsidRPr="00D96A4E" w:rsidRDefault="00D96A4E" w:rsidP="00BE719D">
            <w:r>
              <w:t>Non applicable</w:t>
            </w:r>
          </w:p>
        </w:tc>
        <w:tc>
          <w:tcPr>
            <w:tcW w:w="4501" w:type="dxa"/>
            <w:shd w:val="clear" w:color="auto" w:fill="auto"/>
          </w:tcPr>
          <w:p w14:paraId="3E470D1B" w14:textId="77777777" w:rsidR="008B34EF" w:rsidRPr="00D96A4E" w:rsidRDefault="008B34EF" w:rsidP="00BE719D"/>
        </w:tc>
      </w:tr>
      <w:tr w:rsidR="00D96A4E" w:rsidRPr="00D96A4E" w14:paraId="7EC43B6F" w14:textId="77777777" w:rsidTr="00D96A4E">
        <w:trPr>
          <w:trHeight w:val="188"/>
        </w:trPr>
        <w:tc>
          <w:tcPr>
            <w:tcW w:w="7933" w:type="dxa"/>
            <w:shd w:val="clear" w:color="auto" w:fill="auto"/>
          </w:tcPr>
          <w:p w14:paraId="501335B7" w14:textId="71443369" w:rsidR="00D96A4E" w:rsidRPr="00D96A4E" w:rsidRDefault="00D96A4E" w:rsidP="00BE719D">
            <w:pPr>
              <w:rPr>
                <w:b/>
                <w:bCs/>
              </w:rPr>
            </w:pPr>
            <w:r w:rsidRPr="00D96A4E">
              <w:rPr>
                <w:b/>
                <w:bCs/>
              </w:rPr>
              <w:t>2.3.2 Etat de stocks</w:t>
            </w:r>
          </w:p>
        </w:tc>
        <w:tc>
          <w:tcPr>
            <w:tcW w:w="1560" w:type="dxa"/>
            <w:shd w:val="clear" w:color="auto" w:fill="auto"/>
          </w:tcPr>
          <w:p w14:paraId="0C009855" w14:textId="24D6CAC1" w:rsidR="00D96A4E" w:rsidRPr="00D96A4E" w:rsidRDefault="00D96A4E" w:rsidP="00BE719D">
            <w:r>
              <w:t>Non applicable</w:t>
            </w:r>
          </w:p>
        </w:tc>
        <w:tc>
          <w:tcPr>
            <w:tcW w:w="4501" w:type="dxa"/>
            <w:shd w:val="clear" w:color="auto" w:fill="auto"/>
          </w:tcPr>
          <w:p w14:paraId="0DE0A91B" w14:textId="77777777" w:rsidR="00D96A4E" w:rsidRPr="00D96A4E" w:rsidRDefault="00D96A4E" w:rsidP="00BE719D"/>
        </w:tc>
      </w:tr>
      <w:tr w:rsidR="008B34EF" w:rsidRPr="00D96A4E" w14:paraId="5D5CC698" w14:textId="77777777" w:rsidTr="00D96A4E">
        <w:trPr>
          <w:trHeight w:val="188"/>
        </w:trPr>
        <w:tc>
          <w:tcPr>
            <w:tcW w:w="7933" w:type="dxa"/>
            <w:shd w:val="clear" w:color="auto" w:fill="auto"/>
          </w:tcPr>
          <w:p w14:paraId="00FF2897" w14:textId="210FB0FC" w:rsidR="008B34EF" w:rsidRPr="00D96A4E" w:rsidRDefault="00D96A4E" w:rsidP="00BE719D">
            <w:pPr>
              <w:rPr>
                <w:b/>
                <w:bCs/>
              </w:rPr>
            </w:pPr>
            <w:r w:rsidRPr="00D96A4E">
              <w:rPr>
                <w:b/>
                <w:bCs/>
              </w:rPr>
              <w:t>2.3.3 Localisation des risques</w:t>
            </w:r>
          </w:p>
        </w:tc>
        <w:tc>
          <w:tcPr>
            <w:tcW w:w="1560" w:type="dxa"/>
            <w:shd w:val="clear" w:color="auto" w:fill="auto"/>
          </w:tcPr>
          <w:p w14:paraId="57C4E433" w14:textId="7DA52EE2" w:rsidR="008B34EF" w:rsidRPr="00D96A4E" w:rsidRDefault="00D96A4E" w:rsidP="00BE719D">
            <w:r>
              <w:t>Non applicable</w:t>
            </w:r>
          </w:p>
        </w:tc>
        <w:tc>
          <w:tcPr>
            <w:tcW w:w="4501" w:type="dxa"/>
            <w:shd w:val="clear" w:color="auto" w:fill="auto"/>
          </w:tcPr>
          <w:p w14:paraId="37734CF9" w14:textId="3388C876" w:rsidR="008B34EF" w:rsidRPr="00D96A4E" w:rsidRDefault="008B34EF" w:rsidP="00BE719D"/>
        </w:tc>
      </w:tr>
      <w:tr w:rsidR="00D96A4E" w:rsidRPr="00D96A4E" w14:paraId="5F9DD210" w14:textId="77777777" w:rsidTr="00D96A4E">
        <w:trPr>
          <w:trHeight w:val="188"/>
        </w:trPr>
        <w:tc>
          <w:tcPr>
            <w:tcW w:w="7933" w:type="dxa"/>
            <w:shd w:val="clear" w:color="auto" w:fill="AEAAAA" w:themeFill="background2" w:themeFillShade="BF"/>
          </w:tcPr>
          <w:p w14:paraId="5EBE85C3" w14:textId="2F49B302" w:rsidR="00D96A4E" w:rsidRPr="00D96A4E" w:rsidRDefault="00D96A4E" w:rsidP="00BE719D">
            <w:pPr>
              <w:rPr>
                <w:b/>
                <w:bCs/>
              </w:rPr>
            </w:pPr>
            <w:r w:rsidRPr="00D96A4E">
              <w:rPr>
                <w:b/>
                <w:bCs/>
              </w:rPr>
              <w:t>2.4 Exploitation</w:t>
            </w:r>
          </w:p>
        </w:tc>
        <w:tc>
          <w:tcPr>
            <w:tcW w:w="1560" w:type="dxa"/>
          </w:tcPr>
          <w:p w14:paraId="4E1E7729" w14:textId="77777777" w:rsidR="00D96A4E" w:rsidRPr="00D96A4E" w:rsidRDefault="00D96A4E" w:rsidP="00BE719D">
            <w:pPr>
              <w:rPr>
                <w:b/>
                <w:bCs/>
              </w:rPr>
            </w:pPr>
          </w:p>
        </w:tc>
        <w:tc>
          <w:tcPr>
            <w:tcW w:w="4501" w:type="dxa"/>
          </w:tcPr>
          <w:p w14:paraId="01CE3A43" w14:textId="77777777" w:rsidR="00D96A4E" w:rsidRPr="00D96A4E" w:rsidRDefault="00D96A4E" w:rsidP="00BE719D">
            <w:pPr>
              <w:rPr>
                <w:b/>
                <w:bCs/>
              </w:rPr>
            </w:pPr>
          </w:p>
        </w:tc>
      </w:tr>
      <w:tr w:rsidR="00D96A4E" w:rsidRPr="00D96A4E" w14:paraId="2EB248E8" w14:textId="77777777" w:rsidTr="00D96A4E">
        <w:trPr>
          <w:trHeight w:val="188"/>
        </w:trPr>
        <w:tc>
          <w:tcPr>
            <w:tcW w:w="7933" w:type="dxa"/>
          </w:tcPr>
          <w:p w14:paraId="449092B8" w14:textId="08DCB91F" w:rsidR="00D96A4E" w:rsidRPr="00D96A4E" w:rsidRDefault="00D96A4E" w:rsidP="00BE719D">
            <w:pPr>
              <w:rPr>
                <w:b/>
                <w:bCs/>
              </w:rPr>
            </w:pPr>
            <w:r w:rsidRPr="00D96A4E">
              <w:rPr>
                <w:b/>
                <w:bCs/>
              </w:rPr>
              <w:t>2.4.1 Stockage</w:t>
            </w:r>
          </w:p>
        </w:tc>
        <w:tc>
          <w:tcPr>
            <w:tcW w:w="1560" w:type="dxa"/>
          </w:tcPr>
          <w:p w14:paraId="795984B1" w14:textId="77777777" w:rsidR="00D96A4E" w:rsidRPr="00D96A4E" w:rsidRDefault="00D96A4E" w:rsidP="00BE719D"/>
        </w:tc>
        <w:tc>
          <w:tcPr>
            <w:tcW w:w="4501" w:type="dxa"/>
          </w:tcPr>
          <w:p w14:paraId="7A44710F" w14:textId="77777777" w:rsidR="00D96A4E" w:rsidRPr="00D96A4E" w:rsidRDefault="00D96A4E" w:rsidP="00BE719D"/>
        </w:tc>
      </w:tr>
      <w:tr w:rsidR="00D96A4E" w:rsidRPr="00D96A4E" w14:paraId="13C676E4" w14:textId="77777777" w:rsidTr="00BE719D">
        <w:trPr>
          <w:trHeight w:val="188"/>
        </w:trPr>
        <w:tc>
          <w:tcPr>
            <w:tcW w:w="7933" w:type="dxa"/>
          </w:tcPr>
          <w:p w14:paraId="0989B1F7" w14:textId="50DF1117" w:rsidR="00D96A4E" w:rsidRPr="00D96A4E" w:rsidRDefault="00D96A4E" w:rsidP="00E75FF6">
            <w:pPr>
              <w:pStyle w:val="Paragraphedeliste"/>
              <w:numPr>
                <w:ilvl w:val="0"/>
                <w:numId w:val="3"/>
              </w:numPr>
            </w:pPr>
            <w:r>
              <w:t>Les produits conditionnés forment des îlots limités de façon suivante :</w:t>
            </w:r>
          </w:p>
        </w:tc>
        <w:tc>
          <w:tcPr>
            <w:tcW w:w="1560" w:type="dxa"/>
          </w:tcPr>
          <w:p w14:paraId="027CF42D" w14:textId="77777777" w:rsidR="00D96A4E" w:rsidRPr="00D96A4E" w:rsidRDefault="00D96A4E" w:rsidP="00BE719D"/>
        </w:tc>
        <w:tc>
          <w:tcPr>
            <w:tcW w:w="4501" w:type="dxa"/>
          </w:tcPr>
          <w:p w14:paraId="0EB0129B" w14:textId="77777777" w:rsidR="00D96A4E" w:rsidRPr="00D96A4E" w:rsidRDefault="00D96A4E" w:rsidP="00BE719D"/>
        </w:tc>
      </w:tr>
      <w:tr w:rsidR="00D96A4E" w:rsidRPr="00D96A4E" w14:paraId="7A280E9D" w14:textId="77777777" w:rsidTr="00E75FF6">
        <w:trPr>
          <w:trHeight w:val="188"/>
        </w:trPr>
        <w:tc>
          <w:tcPr>
            <w:tcW w:w="7933" w:type="dxa"/>
          </w:tcPr>
          <w:p w14:paraId="3FCBC43F" w14:textId="59D27291" w:rsidR="00D96A4E" w:rsidRPr="00D96A4E" w:rsidRDefault="00D96A4E" w:rsidP="00D96A4E">
            <w:pPr>
              <w:pStyle w:val="Paragraphedeliste"/>
              <w:numPr>
                <w:ilvl w:val="0"/>
                <w:numId w:val="2"/>
              </w:numPr>
            </w:pPr>
            <w:r>
              <w:t>La surface maximale des îlots au sol est de 2500 m2, hauteur maximale de 8 m</w:t>
            </w:r>
          </w:p>
        </w:tc>
        <w:tc>
          <w:tcPr>
            <w:tcW w:w="1560" w:type="dxa"/>
            <w:shd w:val="clear" w:color="auto" w:fill="92D050"/>
          </w:tcPr>
          <w:p w14:paraId="0734804E" w14:textId="196A57F4" w:rsidR="00D96A4E" w:rsidRPr="00D96A4E" w:rsidRDefault="00E75FF6" w:rsidP="00BE719D">
            <w:r>
              <w:t>Conforme</w:t>
            </w:r>
          </w:p>
        </w:tc>
        <w:tc>
          <w:tcPr>
            <w:tcW w:w="4501" w:type="dxa"/>
          </w:tcPr>
          <w:p w14:paraId="76ADC22B" w14:textId="76ECD5FB" w:rsidR="00D96A4E" w:rsidRDefault="00E75FF6" w:rsidP="00BE719D">
            <w:r>
              <w:t>La surface des îlots est de 1800 m</w:t>
            </w:r>
            <w:r w:rsidR="006C60AF">
              <w:t>2</w:t>
            </w:r>
            <w:r>
              <w:t xml:space="preserve"> maximum.</w:t>
            </w:r>
          </w:p>
          <w:p w14:paraId="09F74067" w14:textId="77777777" w:rsidR="00E75FF6" w:rsidRDefault="00E75FF6" w:rsidP="00BE719D"/>
          <w:p w14:paraId="042AD488" w14:textId="245A09C8" w:rsidR="00E75FF6" w:rsidRPr="00D96A4E" w:rsidRDefault="00E75FF6" w:rsidP="00BE719D">
            <w:r>
              <w:t xml:space="preserve">Distance de plus de </w:t>
            </w:r>
            <w:r w:rsidR="006C60AF">
              <w:t>6</w:t>
            </w:r>
            <w:r>
              <w:t>0 mètres entre chaque îlot.</w:t>
            </w:r>
          </w:p>
        </w:tc>
      </w:tr>
      <w:tr w:rsidR="00E75FF6" w:rsidRPr="00D96A4E" w14:paraId="7190A973" w14:textId="77777777" w:rsidTr="00BE719D">
        <w:trPr>
          <w:trHeight w:val="188"/>
        </w:trPr>
        <w:tc>
          <w:tcPr>
            <w:tcW w:w="7933" w:type="dxa"/>
          </w:tcPr>
          <w:p w14:paraId="21AE7142" w14:textId="0F6A0C0A" w:rsidR="00E75FF6" w:rsidRPr="00D96A4E" w:rsidRDefault="00E75FF6" w:rsidP="00E75FF6">
            <w:pPr>
              <w:pStyle w:val="Paragraphedeliste"/>
              <w:numPr>
                <w:ilvl w:val="0"/>
                <w:numId w:val="2"/>
              </w:numPr>
            </w:pPr>
            <w:r>
              <w:t>Pour les stockages couverts, 3300 m2 et hauteur maximale de 6 mètres</w:t>
            </w:r>
          </w:p>
        </w:tc>
        <w:tc>
          <w:tcPr>
            <w:tcW w:w="1560" w:type="dxa"/>
          </w:tcPr>
          <w:p w14:paraId="3C3BC2F3" w14:textId="0157A04A" w:rsidR="00E75FF6" w:rsidRPr="00D96A4E" w:rsidRDefault="00E75FF6" w:rsidP="00BE719D">
            <w:r>
              <w:t xml:space="preserve">Non applicable </w:t>
            </w:r>
          </w:p>
        </w:tc>
        <w:tc>
          <w:tcPr>
            <w:tcW w:w="4501" w:type="dxa"/>
          </w:tcPr>
          <w:p w14:paraId="5BB2B32D" w14:textId="77777777" w:rsidR="00E75FF6" w:rsidRPr="00D96A4E" w:rsidRDefault="00E75FF6" w:rsidP="00BE719D"/>
        </w:tc>
      </w:tr>
      <w:tr w:rsidR="00E75FF6" w:rsidRPr="00D96A4E" w14:paraId="7FCC407A" w14:textId="77777777" w:rsidTr="00BE719D">
        <w:trPr>
          <w:trHeight w:val="188"/>
        </w:trPr>
        <w:tc>
          <w:tcPr>
            <w:tcW w:w="7933" w:type="dxa"/>
          </w:tcPr>
          <w:p w14:paraId="55C19464" w14:textId="0648BAB1" w:rsidR="00E75FF6" w:rsidRPr="00D96A4E" w:rsidRDefault="00E75FF6" w:rsidP="00BE719D">
            <w:r>
              <w:lastRenderedPageBreak/>
              <w:t>B- Les produits stockés en palettier</w:t>
            </w:r>
          </w:p>
        </w:tc>
        <w:tc>
          <w:tcPr>
            <w:tcW w:w="1560" w:type="dxa"/>
          </w:tcPr>
          <w:p w14:paraId="7E66A4A7" w14:textId="22CBCDA0" w:rsidR="00E75FF6" w:rsidRPr="00D96A4E" w:rsidRDefault="00E75FF6" w:rsidP="00BE719D">
            <w:r>
              <w:t>Non applicable</w:t>
            </w:r>
          </w:p>
        </w:tc>
        <w:tc>
          <w:tcPr>
            <w:tcW w:w="4501" w:type="dxa"/>
          </w:tcPr>
          <w:p w14:paraId="42C7A330" w14:textId="77777777" w:rsidR="00E75FF6" w:rsidRPr="00D96A4E" w:rsidRDefault="00E75FF6" w:rsidP="00BE719D"/>
        </w:tc>
      </w:tr>
      <w:tr w:rsidR="00E75FF6" w:rsidRPr="00D96A4E" w14:paraId="44FE53CA" w14:textId="77777777" w:rsidTr="00D96A4E">
        <w:trPr>
          <w:trHeight w:val="188"/>
        </w:trPr>
        <w:tc>
          <w:tcPr>
            <w:tcW w:w="7933" w:type="dxa"/>
          </w:tcPr>
          <w:p w14:paraId="08A3BAE2" w14:textId="0050FADE" w:rsidR="00E75FF6" w:rsidRPr="00E75FF6" w:rsidRDefault="00E75FF6" w:rsidP="00E75FF6">
            <w:pPr>
              <w:rPr>
                <w:b/>
                <w:bCs/>
              </w:rPr>
            </w:pPr>
            <w:r w:rsidRPr="00E75FF6">
              <w:rPr>
                <w:b/>
                <w:bCs/>
              </w:rPr>
              <w:t>2.4.2 Matières dangereuses</w:t>
            </w:r>
          </w:p>
        </w:tc>
        <w:tc>
          <w:tcPr>
            <w:tcW w:w="1560" w:type="dxa"/>
          </w:tcPr>
          <w:p w14:paraId="0C453856" w14:textId="7E201863" w:rsidR="00E75FF6" w:rsidRPr="00D96A4E" w:rsidRDefault="00E75FF6" w:rsidP="00E75FF6">
            <w:r>
              <w:t>Non applicable</w:t>
            </w:r>
          </w:p>
        </w:tc>
        <w:tc>
          <w:tcPr>
            <w:tcW w:w="4501" w:type="dxa"/>
          </w:tcPr>
          <w:p w14:paraId="568EF29D" w14:textId="3CD0DE8B" w:rsidR="00E75FF6" w:rsidRPr="00D96A4E" w:rsidRDefault="00E75FF6" w:rsidP="00E75FF6">
            <w:r>
              <w:t>Absence de matières dangereuses sur site.</w:t>
            </w:r>
          </w:p>
        </w:tc>
      </w:tr>
      <w:tr w:rsidR="00E75FF6" w:rsidRPr="00D96A4E" w14:paraId="4CDB2706" w14:textId="77777777" w:rsidTr="00E75FF6">
        <w:trPr>
          <w:trHeight w:val="188"/>
        </w:trPr>
        <w:tc>
          <w:tcPr>
            <w:tcW w:w="7933" w:type="dxa"/>
          </w:tcPr>
          <w:p w14:paraId="009B9447" w14:textId="50CC3B25" w:rsidR="00E75FF6" w:rsidRPr="00E75FF6" w:rsidRDefault="00E75FF6" w:rsidP="00E75FF6">
            <w:pPr>
              <w:rPr>
                <w:b/>
                <w:bCs/>
              </w:rPr>
            </w:pPr>
            <w:r w:rsidRPr="00E75FF6">
              <w:rPr>
                <w:b/>
                <w:bCs/>
              </w:rPr>
              <w:t>2.4.3 Propreté de l’installation</w:t>
            </w:r>
          </w:p>
        </w:tc>
        <w:tc>
          <w:tcPr>
            <w:tcW w:w="1560" w:type="dxa"/>
          </w:tcPr>
          <w:p w14:paraId="6B941C64" w14:textId="77777777" w:rsidR="00E75FF6" w:rsidRPr="00D96A4E" w:rsidRDefault="00E75FF6" w:rsidP="00E75FF6"/>
        </w:tc>
        <w:tc>
          <w:tcPr>
            <w:tcW w:w="4501" w:type="dxa"/>
          </w:tcPr>
          <w:p w14:paraId="2C1215CD" w14:textId="77777777" w:rsidR="00E75FF6" w:rsidRPr="00D96A4E" w:rsidRDefault="00E75FF6" w:rsidP="00E75FF6"/>
        </w:tc>
      </w:tr>
      <w:tr w:rsidR="00E75FF6" w:rsidRPr="00D96A4E" w14:paraId="63E46A7E" w14:textId="77777777" w:rsidTr="00E75FF6">
        <w:trPr>
          <w:trHeight w:val="188"/>
        </w:trPr>
        <w:tc>
          <w:tcPr>
            <w:tcW w:w="7933" w:type="dxa"/>
          </w:tcPr>
          <w:p w14:paraId="0E74EAF2" w14:textId="522D8205" w:rsidR="00E75FF6" w:rsidRPr="00D96A4E" w:rsidRDefault="00E75FF6" w:rsidP="00E75FF6">
            <w:r>
              <w:t>Les surfaces à proximité sont maintenues propres et régulièrement nettoyées afin d’éviter les amas de poussières.</w:t>
            </w:r>
          </w:p>
        </w:tc>
        <w:tc>
          <w:tcPr>
            <w:tcW w:w="1560" w:type="dxa"/>
            <w:shd w:val="clear" w:color="auto" w:fill="92D050"/>
          </w:tcPr>
          <w:p w14:paraId="3666109E" w14:textId="1164C6F4" w:rsidR="00E75FF6" w:rsidRPr="00D96A4E" w:rsidRDefault="00E75FF6" w:rsidP="00E75FF6">
            <w:r>
              <w:t>Conforme</w:t>
            </w:r>
          </w:p>
        </w:tc>
        <w:tc>
          <w:tcPr>
            <w:tcW w:w="4501" w:type="dxa"/>
          </w:tcPr>
          <w:p w14:paraId="04985AEA" w14:textId="77777777" w:rsidR="00E75FF6" w:rsidRPr="00D96A4E" w:rsidRDefault="00E75FF6" w:rsidP="00E75FF6"/>
        </w:tc>
      </w:tr>
      <w:tr w:rsidR="00E75FF6" w:rsidRPr="00E75FF6" w14:paraId="06214CD5" w14:textId="77777777" w:rsidTr="00BE719D">
        <w:trPr>
          <w:trHeight w:val="188"/>
        </w:trPr>
        <w:tc>
          <w:tcPr>
            <w:tcW w:w="7933" w:type="dxa"/>
          </w:tcPr>
          <w:p w14:paraId="000496C0" w14:textId="6EC2BE18" w:rsidR="00E75FF6" w:rsidRPr="00E75FF6" w:rsidRDefault="00E75FF6" w:rsidP="00BE719D">
            <w:pPr>
              <w:rPr>
                <w:b/>
                <w:bCs/>
              </w:rPr>
            </w:pPr>
            <w:r w:rsidRPr="00E75FF6">
              <w:rPr>
                <w:b/>
                <w:bCs/>
              </w:rPr>
              <w:t>2.4.4 Travaux</w:t>
            </w:r>
          </w:p>
        </w:tc>
        <w:tc>
          <w:tcPr>
            <w:tcW w:w="1560" w:type="dxa"/>
          </w:tcPr>
          <w:p w14:paraId="4B17E458" w14:textId="77777777" w:rsidR="00E75FF6" w:rsidRPr="00E75FF6" w:rsidRDefault="00E75FF6" w:rsidP="00BE719D">
            <w:pPr>
              <w:rPr>
                <w:b/>
                <w:bCs/>
              </w:rPr>
            </w:pPr>
          </w:p>
        </w:tc>
        <w:tc>
          <w:tcPr>
            <w:tcW w:w="4501" w:type="dxa"/>
          </w:tcPr>
          <w:p w14:paraId="6E9FDE55" w14:textId="77777777" w:rsidR="00E75FF6" w:rsidRPr="00E75FF6" w:rsidRDefault="00E75FF6" w:rsidP="00BE719D">
            <w:pPr>
              <w:rPr>
                <w:b/>
                <w:bCs/>
              </w:rPr>
            </w:pPr>
          </w:p>
        </w:tc>
      </w:tr>
      <w:tr w:rsidR="00E75FF6" w:rsidRPr="00D96A4E" w14:paraId="227E52E5" w14:textId="77777777" w:rsidTr="00E75FF6">
        <w:trPr>
          <w:trHeight w:val="188"/>
        </w:trPr>
        <w:tc>
          <w:tcPr>
            <w:tcW w:w="7933" w:type="dxa"/>
          </w:tcPr>
          <w:p w14:paraId="4CD65969" w14:textId="5A40D58F" w:rsidR="00E75FF6" w:rsidRPr="00D96A4E" w:rsidRDefault="00E75FF6" w:rsidP="00E75FF6">
            <w:r>
              <w:t>Les travaux d’aménagement conduisant à une augmentation des risques ne peuvent s’effectuer qu’après délivrance d’un « permis d’intervention » et/ou d’un permis de feu</w:t>
            </w:r>
          </w:p>
        </w:tc>
        <w:tc>
          <w:tcPr>
            <w:tcW w:w="1560" w:type="dxa"/>
            <w:shd w:val="clear" w:color="auto" w:fill="FFC000"/>
          </w:tcPr>
          <w:p w14:paraId="5630F1BA" w14:textId="3498A4CD" w:rsidR="00E75FF6" w:rsidRPr="00D96A4E" w:rsidRDefault="00E75FF6" w:rsidP="00E75FF6">
            <w:r>
              <w:t>Point de progrès</w:t>
            </w:r>
          </w:p>
        </w:tc>
        <w:tc>
          <w:tcPr>
            <w:tcW w:w="4501" w:type="dxa"/>
          </w:tcPr>
          <w:p w14:paraId="2EB64B95" w14:textId="4CAF62DF" w:rsidR="00E75FF6" w:rsidRPr="00D96A4E" w:rsidRDefault="00A7765B" w:rsidP="00E75FF6">
            <w:r>
              <w:t>Procédure à mettre en place.</w:t>
            </w:r>
          </w:p>
        </w:tc>
      </w:tr>
      <w:tr w:rsidR="00E75FF6" w:rsidRPr="00E75FF6" w14:paraId="7CE86255" w14:textId="77777777" w:rsidTr="00E75FF6">
        <w:trPr>
          <w:trHeight w:val="188"/>
        </w:trPr>
        <w:tc>
          <w:tcPr>
            <w:tcW w:w="7933" w:type="dxa"/>
          </w:tcPr>
          <w:p w14:paraId="2DCE11A4" w14:textId="6844847D" w:rsidR="00E75FF6" w:rsidRPr="00E75FF6" w:rsidRDefault="00E75FF6" w:rsidP="00BE719D">
            <w:pPr>
              <w:rPr>
                <w:b/>
                <w:bCs/>
              </w:rPr>
            </w:pPr>
            <w:r w:rsidRPr="00E75FF6">
              <w:rPr>
                <w:b/>
                <w:bCs/>
              </w:rPr>
              <w:t>2.4.5 Consignes d’exploitation</w:t>
            </w:r>
          </w:p>
        </w:tc>
        <w:tc>
          <w:tcPr>
            <w:tcW w:w="1560" w:type="dxa"/>
          </w:tcPr>
          <w:p w14:paraId="558795FF" w14:textId="342CBCD1" w:rsidR="00E75FF6" w:rsidRPr="00E75FF6" w:rsidRDefault="00E75FF6" w:rsidP="00BE719D">
            <w:pPr>
              <w:rPr>
                <w:b/>
                <w:bCs/>
              </w:rPr>
            </w:pPr>
          </w:p>
        </w:tc>
        <w:tc>
          <w:tcPr>
            <w:tcW w:w="4501" w:type="dxa"/>
          </w:tcPr>
          <w:p w14:paraId="4D92342C" w14:textId="77777777" w:rsidR="00E75FF6" w:rsidRPr="00E75FF6" w:rsidRDefault="00E75FF6" w:rsidP="00BE719D">
            <w:pPr>
              <w:rPr>
                <w:b/>
                <w:bCs/>
              </w:rPr>
            </w:pPr>
          </w:p>
        </w:tc>
      </w:tr>
      <w:tr w:rsidR="00E75FF6" w:rsidRPr="00D96A4E" w14:paraId="41A00D58" w14:textId="77777777" w:rsidTr="00E75FF6">
        <w:trPr>
          <w:trHeight w:val="188"/>
        </w:trPr>
        <w:tc>
          <w:tcPr>
            <w:tcW w:w="7933" w:type="dxa"/>
          </w:tcPr>
          <w:p w14:paraId="7A115BB9" w14:textId="27277F69" w:rsidR="00E75FF6" w:rsidRPr="00D96A4E" w:rsidRDefault="00E75FF6" w:rsidP="00E75FF6">
            <w:r>
              <w:t>Des consignes sont établies, tenues à jour et affichées dans les lieux fréquentés par le personnel.</w:t>
            </w:r>
          </w:p>
        </w:tc>
        <w:tc>
          <w:tcPr>
            <w:tcW w:w="1560" w:type="dxa"/>
            <w:shd w:val="clear" w:color="auto" w:fill="FFC000"/>
          </w:tcPr>
          <w:p w14:paraId="06F8CA5C" w14:textId="438B166E" w:rsidR="00E75FF6" w:rsidRPr="00D96A4E" w:rsidRDefault="00E75FF6" w:rsidP="00E75FF6">
            <w:r>
              <w:t>Point de progrès</w:t>
            </w:r>
          </w:p>
        </w:tc>
        <w:tc>
          <w:tcPr>
            <w:tcW w:w="4501" w:type="dxa"/>
          </w:tcPr>
          <w:p w14:paraId="1177F288" w14:textId="7F70EDFC" w:rsidR="00E75FF6" w:rsidRPr="00D96A4E" w:rsidRDefault="00E75FF6" w:rsidP="00E75FF6">
            <w:r>
              <w:t>Présence de personnel pendant la période des moissons, mis en stock et chargement</w:t>
            </w:r>
            <w:r w:rsidR="00A7765B">
              <w:t>.</w:t>
            </w:r>
          </w:p>
        </w:tc>
      </w:tr>
      <w:tr w:rsidR="00E75FF6" w:rsidRPr="00D96A4E" w14:paraId="54C9CC1E" w14:textId="77777777" w:rsidTr="008C2BC1">
        <w:trPr>
          <w:trHeight w:val="188"/>
        </w:trPr>
        <w:tc>
          <w:tcPr>
            <w:tcW w:w="7933" w:type="dxa"/>
          </w:tcPr>
          <w:p w14:paraId="2B403DA0" w14:textId="5A88DCAC" w:rsidR="00E75FF6" w:rsidRDefault="00E75FF6" w:rsidP="00BE719D">
            <w:r>
              <w:t>Des consignes indiquent notamment :</w:t>
            </w:r>
          </w:p>
          <w:p w14:paraId="69B7E498" w14:textId="77777777" w:rsidR="00E75FF6" w:rsidRDefault="008C2BC1" w:rsidP="008C2BC1">
            <w:pPr>
              <w:pStyle w:val="Paragraphedeliste"/>
              <w:numPr>
                <w:ilvl w:val="0"/>
                <w:numId w:val="1"/>
              </w:numPr>
            </w:pPr>
            <w:r>
              <w:t>Interdiction de fumer</w:t>
            </w:r>
          </w:p>
          <w:p w14:paraId="356B1C64" w14:textId="77777777" w:rsidR="008C2BC1" w:rsidRDefault="008C2BC1" w:rsidP="008C2BC1">
            <w:pPr>
              <w:pStyle w:val="Paragraphedeliste"/>
              <w:numPr>
                <w:ilvl w:val="0"/>
                <w:numId w:val="1"/>
              </w:numPr>
            </w:pPr>
            <w:r>
              <w:t>Interdiction de brûlage</w:t>
            </w:r>
          </w:p>
          <w:p w14:paraId="4549A543" w14:textId="242B5E0C" w:rsidR="008C2BC1" w:rsidRDefault="008C2BC1" w:rsidP="008C2BC1">
            <w:pPr>
              <w:pStyle w:val="Paragraphedeliste"/>
              <w:numPr>
                <w:ilvl w:val="0"/>
                <w:numId w:val="1"/>
              </w:numPr>
            </w:pPr>
            <w:r>
              <w:t>Interdiction d’apporter du feu sous quelque forme que ce soit</w:t>
            </w:r>
          </w:p>
          <w:p w14:paraId="23676CC9" w14:textId="77777777" w:rsidR="008C2BC1" w:rsidRDefault="008C2BC1" w:rsidP="008C2BC1">
            <w:pPr>
              <w:pStyle w:val="Paragraphedeliste"/>
              <w:numPr>
                <w:ilvl w:val="0"/>
                <w:numId w:val="1"/>
              </w:numPr>
            </w:pPr>
            <w:r>
              <w:t>Obligation permis d’intervention ou permis de feu</w:t>
            </w:r>
          </w:p>
          <w:p w14:paraId="2C9F7CF2" w14:textId="77777777" w:rsidR="008C2BC1" w:rsidRDefault="008C2BC1" w:rsidP="008C2BC1">
            <w:pPr>
              <w:pStyle w:val="Paragraphedeliste"/>
              <w:numPr>
                <w:ilvl w:val="0"/>
                <w:numId w:val="1"/>
              </w:numPr>
            </w:pPr>
            <w:r>
              <w:t>Précautions à prendre pour l’emploi et le stockage de matières incompatibles (sans objet)</w:t>
            </w:r>
          </w:p>
          <w:p w14:paraId="4344746E" w14:textId="77777777" w:rsidR="008C2BC1" w:rsidRDefault="008C2BC1" w:rsidP="008C2BC1">
            <w:pPr>
              <w:pStyle w:val="Paragraphedeliste"/>
              <w:numPr>
                <w:ilvl w:val="0"/>
                <w:numId w:val="1"/>
              </w:numPr>
            </w:pPr>
            <w:r>
              <w:t>Procédure d’arrêt d’urgence de l’installation (sans objet)</w:t>
            </w:r>
          </w:p>
          <w:p w14:paraId="7632B194" w14:textId="77777777" w:rsidR="008C2BC1" w:rsidRDefault="008C2BC1" w:rsidP="008C2BC1">
            <w:pPr>
              <w:pStyle w:val="Paragraphedeliste"/>
              <w:numPr>
                <w:ilvl w:val="0"/>
                <w:numId w:val="1"/>
              </w:numPr>
            </w:pPr>
            <w:r>
              <w:t>Mesures à prendre en cas de fuite sur un récipient (sans objet)</w:t>
            </w:r>
          </w:p>
          <w:p w14:paraId="3905408C" w14:textId="77777777" w:rsidR="008C2BC1" w:rsidRDefault="008C2BC1" w:rsidP="008C2BC1">
            <w:pPr>
              <w:pStyle w:val="Paragraphedeliste"/>
              <w:numPr>
                <w:ilvl w:val="0"/>
                <w:numId w:val="1"/>
              </w:numPr>
            </w:pPr>
            <w:r>
              <w:t>Modalités d’isolement du réseau cde collecte (sans objet)</w:t>
            </w:r>
          </w:p>
          <w:p w14:paraId="1C92CFBF" w14:textId="77777777" w:rsidR="008C2BC1" w:rsidRDefault="008C2BC1" w:rsidP="008C2BC1">
            <w:pPr>
              <w:pStyle w:val="Paragraphedeliste"/>
              <w:numPr>
                <w:ilvl w:val="0"/>
                <w:numId w:val="1"/>
              </w:numPr>
            </w:pPr>
            <w:r>
              <w:t>Moyens d’extinction incendie</w:t>
            </w:r>
          </w:p>
          <w:p w14:paraId="0DAFF276" w14:textId="1008E94B" w:rsidR="008C2BC1" w:rsidRPr="00D96A4E" w:rsidRDefault="008C2BC1" w:rsidP="008C2BC1">
            <w:pPr>
              <w:pStyle w:val="Paragraphedeliste"/>
              <w:numPr>
                <w:ilvl w:val="0"/>
                <w:numId w:val="1"/>
              </w:numPr>
            </w:pPr>
            <w:r>
              <w:t>Procédure d’alerte</w:t>
            </w:r>
          </w:p>
        </w:tc>
        <w:tc>
          <w:tcPr>
            <w:tcW w:w="1560" w:type="dxa"/>
            <w:shd w:val="clear" w:color="auto" w:fill="FFC000"/>
          </w:tcPr>
          <w:p w14:paraId="31F53FE8" w14:textId="77777777" w:rsidR="00E75FF6" w:rsidRPr="00D96A4E" w:rsidRDefault="00E75FF6" w:rsidP="00BE719D">
            <w:r>
              <w:t>Point de progrès</w:t>
            </w:r>
          </w:p>
        </w:tc>
        <w:tc>
          <w:tcPr>
            <w:tcW w:w="4501" w:type="dxa"/>
          </w:tcPr>
          <w:p w14:paraId="28A1731C" w14:textId="2A66C8BF" w:rsidR="00E75FF6" w:rsidRPr="00D96A4E" w:rsidRDefault="00E75FF6" w:rsidP="00BE719D">
            <w:r>
              <w:t>Présence de personnel pendant la période des moissons, mis en stock et chargement</w:t>
            </w:r>
            <w:r w:rsidR="00A7765B">
              <w:t>.</w:t>
            </w:r>
          </w:p>
        </w:tc>
      </w:tr>
      <w:tr w:rsidR="008C2BC1" w:rsidRPr="008C2BC1" w14:paraId="22153F9D" w14:textId="77777777" w:rsidTr="008C2BC1">
        <w:trPr>
          <w:trHeight w:val="188"/>
        </w:trPr>
        <w:tc>
          <w:tcPr>
            <w:tcW w:w="7933" w:type="dxa"/>
          </w:tcPr>
          <w:p w14:paraId="7C04FCC4" w14:textId="22B79C0B" w:rsidR="008C2BC1" w:rsidRPr="008C2BC1" w:rsidRDefault="008C2BC1" w:rsidP="008C2BC1">
            <w:pPr>
              <w:rPr>
                <w:b/>
                <w:bCs/>
              </w:rPr>
            </w:pPr>
            <w:r w:rsidRPr="008C2BC1">
              <w:rPr>
                <w:b/>
                <w:bCs/>
              </w:rPr>
              <w:t>2.4.6 Vérification périodique et maintenance des équipements</w:t>
            </w:r>
          </w:p>
        </w:tc>
        <w:tc>
          <w:tcPr>
            <w:tcW w:w="1560" w:type="dxa"/>
          </w:tcPr>
          <w:p w14:paraId="6661F392" w14:textId="03ACDE49" w:rsidR="008C2BC1" w:rsidRPr="008C2BC1" w:rsidRDefault="008C2BC1" w:rsidP="00BE719D">
            <w:pPr>
              <w:rPr>
                <w:b/>
                <w:bCs/>
              </w:rPr>
            </w:pPr>
          </w:p>
        </w:tc>
        <w:tc>
          <w:tcPr>
            <w:tcW w:w="4501" w:type="dxa"/>
          </w:tcPr>
          <w:p w14:paraId="56CA185B" w14:textId="24363ABC" w:rsidR="008C2BC1" w:rsidRPr="008C2BC1" w:rsidRDefault="008C2BC1" w:rsidP="00BE719D">
            <w:pPr>
              <w:rPr>
                <w:b/>
                <w:bCs/>
              </w:rPr>
            </w:pPr>
          </w:p>
        </w:tc>
      </w:tr>
      <w:tr w:rsidR="008C2BC1" w:rsidRPr="00D96A4E" w14:paraId="02134E7A" w14:textId="77777777" w:rsidTr="008C2BC1">
        <w:trPr>
          <w:trHeight w:val="188"/>
        </w:trPr>
        <w:tc>
          <w:tcPr>
            <w:tcW w:w="7933" w:type="dxa"/>
          </w:tcPr>
          <w:p w14:paraId="55254DF6" w14:textId="772CC9F3" w:rsidR="008C2BC1" w:rsidRPr="00D96A4E" w:rsidRDefault="008C2BC1" w:rsidP="00BE719D">
            <w:r>
              <w:t>L’exploitant assure la vérification des installations soumises à des contrôles périodiques obligatoires</w:t>
            </w:r>
          </w:p>
        </w:tc>
        <w:tc>
          <w:tcPr>
            <w:tcW w:w="1560" w:type="dxa"/>
          </w:tcPr>
          <w:p w14:paraId="132CAF89" w14:textId="1B6498C0" w:rsidR="008C2BC1" w:rsidRPr="00D96A4E" w:rsidRDefault="008C2BC1" w:rsidP="00BE719D">
            <w:r>
              <w:t>Non applicable</w:t>
            </w:r>
          </w:p>
        </w:tc>
        <w:tc>
          <w:tcPr>
            <w:tcW w:w="4501" w:type="dxa"/>
          </w:tcPr>
          <w:p w14:paraId="3456D417" w14:textId="443005F4" w:rsidR="008C2BC1" w:rsidRPr="00D96A4E" w:rsidRDefault="008C2BC1" w:rsidP="00BE719D">
            <w:r>
              <w:t>Pas d’équipements soumis à contrôle obligatoire sur le site</w:t>
            </w:r>
            <w:r w:rsidR="00A7765B">
              <w:t>.</w:t>
            </w:r>
          </w:p>
        </w:tc>
      </w:tr>
      <w:tr w:rsidR="008C2BC1" w:rsidRPr="008C2BC1" w14:paraId="519C0454" w14:textId="77777777" w:rsidTr="008C2BC1">
        <w:trPr>
          <w:trHeight w:val="188"/>
        </w:trPr>
        <w:tc>
          <w:tcPr>
            <w:tcW w:w="7933" w:type="dxa"/>
          </w:tcPr>
          <w:p w14:paraId="39B642D0" w14:textId="50FF7F85" w:rsidR="008C2BC1" w:rsidRPr="008C2BC1" w:rsidRDefault="008C2BC1" w:rsidP="00BE719D">
            <w:pPr>
              <w:rPr>
                <w:b/>
                <w:bCs/>
              </w:rPr>
            </w:pPr>
            <w:r w:rsidRPr="008C2BC1">
              <w:rPr>
                <w:b/>
                <w:bCs/>
              </w:rPr>
              <w:t>2.4.7 Brûlage</w:t>
            </w:r>
          </w:p>
        </w:tc>
        <w:tc>
          <w:tcPr>
            <w:tcW w:w="1560" w:type="dxa"/>
          </w:tcPr>
          <w:p w14:paraId="202DEAA7" w14:textId="77777777" w:rsidR="008C2BC1" w:rsidRPr="008C2BC1" w:rsidRDefault="008C2BC1" w:rsidP="00BE719D">
            <w:pPr>
              <w:rPr>
                <w:b/>
                <w:bCs/>
              </w:rPr>
            </w:pPr>
          </w:p>
        </w:tc>
        <w:tc>
          <w:tcPr>
            <w:tcW w:w="4501" w:type="dxa"/>
          </w:tcPr>
          <w:p w14:paraId="1C8FBEEB" w14:textId="77777777" w:rsidR="008C2BC1" w:rsidRPr="008C2BC1" w:rsidRDefault="008C2BC1" w:rsidP="00BE719D">
            <w:pPr>
              <w:rPr>
                <w:b/>
                <w:bCs/>
              </w:rPr>
            </w:pPr>
          </w:p>
        </w:tc>
      </w:tr>
      <w:tr w:rsidR="008C2BC1" w:rsidRPr="00D96A4E" w14:paraId="1985FACD" w14:textId="77777777" w:rsidTr="008C2BC1">
        <w:trPr>
          <w:trHeight w:val="188"/>
        </w:trPr>
        <w:tc>
          <w:tcPr>
            <w:tcW w:w="7933" w:type="dxa"/>
          </w:tcPr>
          <w:p w14:paraId="695EE4E0" w14:textId="24B1C2CD" w:rsidR="008C2BC1" w:rsidRPr="00D96A4E" w:rsidRDefault="008C2BC1" w:rsidP="00BE719D">
            <w:r>
              <w:t>L’apport de feu sous une forme quelconque, à proximité du stockage est interdit.</w:t>
            </w:r>
          </w:p>
        </w:tc>
        <w:tc>
          <w:tcPr>
            <w:tcW w:w="1560" w:type="dxa"/>
            <w:shd w:val="clear" w:color="auto" w:fill="92D050"/>
          </w:tcPr>
          <w:p w14:paraId="787F67D2" w14:textId="0873D2D5" w:rsidR="008C2BC1" w:rsidRPr="00D96A4E" w:rsidRDefault="008C2BC1" w:rsidP="00BE719D">
            <w:r>
              <w:t>Conforme</w:t>
            </w:r>
          </w:p>
        </w:tc>
        <w:tc>
          <w:tcPr>
            <w:tcW w:w="4501" w:type="dxa"/>
          </w:tcPr>
          <w:p w14:paraId="4ABEEC8F" w14:textId="77777777" w:rsidR="008C2BC1" w:rsidRPr="00D96A4E" w:rsidRDefault="008C2BC1" w:rsidP="00BE719D"/>
        </w:tc>
      </w:tr>
      <w:tr w:rsidR="008C2BC1" w:rsidRPr="008C2BC1" w14:paraId="796196D9" w14:textId="77777777" w:rsidTr="008C2BC1">
        <w:trPr>
          <w:trHeight w:val="188"/>
        </w:trPr>
        <w:tc>
          <w:tcPr>
            <w:tcW w:w="7933" w:type="dxa"/>
          </w:tcPr>
          <w:p w14:paraId="6C4DE63D" w14:textId="49411A09" w:rsidR="008C2BC1" w:rsidRPr="008C2BC1" w:rsidRDefault="008C2BC1" w:rsidP="00BE719D">
            <w:pPr>
              <w:rPr>
                <w:b/>
                <w:bCs/>
              </w:rPr>
            </w:pPr>
            <w:r>
              <w:rPr>
                <w:b/>
                <w:bCs/>
              </w:rPr>
              <w:t>2.4.8 Surveillance du stockage</w:t>
            </w:r>
          </w:p>
        </w:tc>
        <w:tc>
          <w:tcPr>
            <w:tcW w:w="1560" w:type="dxa"/>
          </w:tcPr>
          <w:p w14:paraId="03869153" w14:textId="77777777" w:rsidR="008C2BC1" w:rsidRPr="008C2BC1" w:rsidRDefault="008C2BC1" w:rsidP="00BE719D">
            <w:pPr>
              <w:rPr>
                <w:b/>
                <w:bCs/>
              </w:rPr>
            </w:pPr>
          </w:p>
        </w:tc>
        <w:tc>
          <w:tcPr>
            <w:tcW w:w="4501" w:type="dxa"/>
          </w:tcPr>
          <w:p w14:paraId="5C81C4A3" w14:textId="77777777" w:rsidR="008C2BC1" w:rsidRPr="008C2BC1" w:rsidRDefault="008C2BC1" w:rsidP="00BE719D">
            <w:pPr>
              <w:rPr>
                <w:b/>
                <w:bCs/>
              </w:rPr>
            </w:pPr>
          </w:p>
        </w:tc>
      </w:tr>
      <w:tr w:rsidR="008C2BC1" w:rsidRPr="00D96A4E" w14:paraId="338AEEEB" w14:textId="77777777" w:rsidTr="008C2BC1">
        <w:trPr>
          <w:trHeight w:val="188"/>
        </w:trPr>
        <w:tc>
          <w:tcPr>
            <w:tcW w:w="7933" w:type="dxa"/>
          </w:tcPr>
          <w:p w14:paraId="2FE509C7" w14:textId="2C0E8B34" w:rsidR="008C2BC1" w:rsidRPr="00D96A4E" w:rsidRDefault="008C2BC1" w:rsidP="00BE719D">
            <w:r>
              <w:t>En dehors des heures d’exploitation du stockage, une surveillance par gardiennage ou télésurveillance est mise en place.</w:t>
            </w:r>
          </w:p>
        </w:tc>
        <w:tc>
          <w:tcPr>
            <w:tcW w:w="1560" w:type="dxa"/>
            <w:shd w:val="clear" w:color="auto" w:fill="92D050"/>
          </w:tcPr>
          <w:p w14:paraId="00B4F662" w14:textId="0EE4C18F" w:rsidR="008C2BC1" w:rsidRPr="00D96A4E" w:rsidRDefault="008C2BC1" w:rsidP="00BE719D">
            <w:r>
              <w:t>Conforme</w:t>
            </w:r>
          </w:p>
        </w:tc>
        <w:tc>
          <w:tcPr>
            <w:tcW w:w="4501" w:type="dxa"/>
          </w:tcPr>
          <w:p w14:paraId="395CADF9" w14:textId="10A11003" w:rsidR="008C2BC1" w:rsidRPr="00D96A4E" w:rsidRDefault="008C2BC1" w:rsidP="00BE719D">
            <w:r>
              <w:t>Système de télésurveillance alimenté par batterie.</w:t>
            </w:r>
          </w:p>
        </w:tc>
      </w:tr>
      <w:tr w:rsidR="008C2BC1" w:rsidRPr="008C2BC1" w14:paraId="40626E25" w14:textId="77777777" w:rsidTr="008C2BC1">
        <w:trPr>
          <w:trHeight w:val="188"/>
        </w:trPr>
        <w:tc>
          <w:tcPr>
            <w:tcW w:w="7933" w:type="dxa"/>
          </w:tcPr>
          <w:p w14:paraId="73FC7AEB" w14:textId="40ADD344" w:rsidR="008C2BC1" w:rsidRPr="008C2BC1" w:rsidRDefault="008C2BC1" w:rsidP="00BE719D">
            <w:pPr>
              <w:rPr>
                <w:b/>
                <w:bCs/>
              </w:rPr>
            </w:pPr>
            <w:r>
              <w:rPr>
                <w:b/>
                <w:bCs/>
              </w:rPr>
              <w:lastRenderedPageBreak/>
              <w:t>2.4.9 Stationnement</w:t>
            </w:r>
          </w:p>
        </w:tc>
        <w:tc>
          <w:tcPr>
            <w:tcW w:w="1560" w:type="dxa"/>
          </w:tcPr>
          <w:p w14:paraId="38048980" w14:textId="77777777" w:rsidR="008C2BC1" w:rsidRPr="008C2BC1" w:rsidRDefault="008C2BC1" w:rsidP="00BE719D">
            <w:pPr>
              <w:rPr>
                <w:b/>
                <w:bCs/>
              </w:rPr>
            </w:pPr>
          </w:p>
        </w:tc>
        <w:tc>
          <w:tcPr>
            <w:tcW w:w="4501" w:type="dxa"/>
          </w:tcPr>
          <w:p w14:paraId="211BBE5B" w14:textId="77777777" w:rsidR="008C2BC1" w:rsidRPr="008C2BC1" w:rsidRDefault="008C2BC1" w:rsidP="00BE719D">
            <w:pPr>
              <w:rPr>
                <w:b/>
                <w:bCs/>
              </w:rPr>
            </w:pPr>
          </w:p>
        </w:tc>
      </w:tr>
      <w:tr w:rsidR="008C2BC1" w:rsidRPr="00D96A4E" w14:paraId="0722AD57" w14:textId="77777777" w:rsidTr="008C2BC1">
        <w:trPr>
          <w:trHeight w:val="188"/>
        </w:trPr>
        <w:tc>
          <w:tcPr>
            <w:tcW w:w="7933" w:type="dxa"/>
          </w:tcPr>
          <w:p w14:paraId="1B28470D" w14:textId="6A60E1DC" w:rsidR="008C2BC1" w:rsidRPr="00D96A4E" w:rsidRDefault="008C2BC1" w:rsidP="00BE719D">
            <w:r>
              <w:t>Le stationnement à proximité du stockage est réservé aux besoins stricts d’exploitation.</w:t>
            </w:r>
          </w:p>
        </w:tc>
        <w:tc>
          <w:tcPr>
            <w:tcW w:w="1560" w:type="dxa"/>
            <w:shd w:val="clear" w:color="auto" w:fill="92D050"/>
          </w:tcPr>
          <w:p w14:paraId="733A8DBE" w14:textId="5B30C696" w:rsidR="008C2BC1" w:rsidRPr="00D96A4E" w:rsidRDefault="008C2BC1" w:rsidP="00BE719D">
            <w:r>
              <w:t xml:space="preserve">Conforme </w:t>
            </w:r>
          </w:p>
        </w:tc>
        <w:tc>
          <w:tcPr>
            <w:tcW w:w="4501" w:type="dxa"/>
          </w:tcPr>
          <w:p w14:paraId="285CB1EE" w14:textId="77777777" w:rsidR="008C2BC1" w:rsidRPr="00D96A4E" w:rsidRDefault="008C2BC1" w:rsidP="00BE719D"/>
        </w:tc>
      </w:tr>
    </w:tbl>
    <w:p w14:paraId="41B9400F" w14:textId="02F0A4CC" w:rsidR="00F90D7F" w:rsidRDefault="00F90D7F"/>
    <w:p w14:paraId="64EEE8F2" w14:textId="77777777" w:rsidR="00F90D7F" w:rsidRDefault="00F90D7F">
      <w:r>
        <w:br w:type="page"/>
      </w:r>
    </w:p>
    <w:p w14:paraId="311B64A4" w14:textId="77777777" w:rsidR="008B34EF" w:rsidRDefault="008B34EF"/>
    <w:tbl>
      <w:tblPr>
        <w:tblStyle w:val="Grilledutableau"/>
        <w:tblW w:w="0" w:type="auto"/>
        <w:tblLook w:val="04A0" w:firstRow="1" w:lastRow="0" w:firstColumn="1" w:lastColumn="0" w:noHBand="0" w:noVBand="1"/>
      </w:tblPr>
      <w:tblGrid>
        <w:gridCol w:w="7933"/>
        <w:gridCol w:w="1560"/>
        <w:gridCol w:w="4501"/>
      </w:tblGrid>
      <w:tr w:rsidR="00B969BD" w:rsidRPr="002702C6" w14:paraId="54ABA412" w14:textId="77777777" w:rsidTr="00BE719D">
        <w:tc>
          <w:tcPr>
            <w:tcW w:w="7933" w:type="dxa"/>
            <w:shd w:val="clear" w:color="auto" w:fill="AEAAAA" w:themeFill="background2" w:themeFillShade="BF"/>
          </w:tcPr>
          <w:p w14:paraId="6A77FF77" w14:textId="3EB7BD3A" w:rsidR="00B969BD" w:rsidRPr="002702C6" w:rsidRDefault="00321243" w:rsidP="00BE719D">
            <w:pPr>
              <w:rPr>
                <w:b/>
                <w:bCs/>
              </w:rPr>
            </w:pPr>
            <w:r>
              <w:rPr>
                <w:b/>
                <w:bCs/>
              </w:rPr>
              <w:t xml:space="preserve">3- </w:t>
            </w:r>
            <w:r w:rsidR="00B969BD">
              <w:rPr>
                <w:b/>
                <w:bCs/>
              </w:rPr>
              <w:t>Eau</w:t>
            </w:r>
          </w:p>
        </w:tc>
        <w:tc>
          <w:tcPr>
            <w:tcW w:w="1560" w:type="dxa"/>
            <w:shd w:val="clear" w:color="auto" w:fill="AEAAAA" w:themeFill="background2" w:themeFillShade="BF"/>
          </w:tcPr>
          <w:p w14:paraId="18905991" w14:textId="77777777" w:rsidR="00B969BD" w:rsidRPr="002702C6" w:rsidRDefault="00B969BD" w:rsidP="00BE719D">
            <w:pPr>
              <w:rPr>
                <w:b/>
                <w:bCs/>
              </w:rPr>
            </w:pPr>
          </w:p>
        </w:tc>
        <w:tc>
          <w:tcPr>
            <w:tcW w:w="4501" w:type="dxa"/>
            <w:shd w:val="clear" w:color="auto" w:fill="AEAAAA" w:themeFill="background2" w:themeFillShade="BF"/>
          </w:tcPr>
          <w:p w14:paraId="74C8C147" w14:textId="77777777" w:rsidR="00B969BD" w:rsidRPr="002702C6" w:rsidRDefault="00B969BD" w:rsidP="00BE719D">
            <w:pPr>
              <w:rPr>
                <w:b/>
                <w:bCs/>
              </w:rPr>
            </w:pPr>
          </w:p>
        </w:tc>
      </w:tr>
      <w:tr w:rsidR="00B969BD" w:rsidRPr="00672A69" w14:paraId="675B0BA6" w14:textId="77777777" w:rsidTr="00BE719D">
        <w:tc>
          <w:tcPr>
            <w:tcW w:w="7933" w:type="dxa"/>
          </w:tcPr>
          <w:p w14:paraId="57C23A4D" w14:textId="64CBDDCA" w:rsidR="00B969BD" w:rsidRPr="00672A69" w:rsidRDefault="000D2B11" w:rsidP="00BE719D">
            <w:pPr>
              <w:rPr>
                <w:b/>
                <w:bCs/>
              </w:rPr>
            </w:pPr>
            <w:r>
              <w:rPr>
                <w:b/>
                <w:bCs/>
              </w:rPr>
              <w:t>3</w:t>
            </w:r>
            <w:r w:rsidR="00B969BD">
              <w:rPr>
                <w:b/>
                <w:bCs/>
              </w:rPr>
              <w:t xml:space="preserve">.1 </w:t>
            </w:r>
            <w:r>
              <w:rPr>
                <w:b/>
                <w:bCs/>
              </w:rPr>
              <w:t>Plans des réseaux</w:t>
            </w:r>
          </w:p>
        </w:tc>
        <w:tc>
          <w:tcPr>
            <w:tcW w:w="1560" w:type="dxa"/>
          </w:tcPr>
          <w:p w14:paraId="51438E2A" w14:textId="77777777" w:rsidR="00B969BD" w:rsidRPr="00672A69" w:rsidRDefault="00B969BD" w:rsidP="00BE719D">
            <w:pPr>
              <w:rPr>
                <w:b/>
                <w:bCs/>
              </w:rPr>
            </w:pPr>
          </w:p>
        </w:tc>
        <w:tc>
          <w:tcPr>
            <w:tcW w:w="4501" w:type="dxa"/>
          </w:tcPr>
          <w:p w14:paraId="27B1B435" w14:textId="77777777" w:rsidR="00B969BD" w:rsidRPr="00672A69" w:rsidRDefault="00B969BD" w:rsidP="00BE719D">
            <w:pPr>
              <w:rPr>
                <w:b/>
                <w:bCs/>
              </w:rPr>
            </w:pPr>
          </w:p>
        </w:tc>
      </w:tr>
      <w:tr w:rsidR="00B969BD" w14:paraId="58BA8FA0" w14:textId="77777777" w:rsidTr="000D2B11">
        <w:tc>
          <w:tcPr>
            <w:tcW w:w="7933" w:type="dxa"/>
            <w:shd w:val="clear" w:color="auto" w:fill="auto"/>
          </w:tcPr>
          <w:p w14:paraId="28FF9870" w14:textId="1313EA2D" w:rsidR="00B969BD" w:rsidRDefault="000D2B11" w:rsidP="00BE719D">
            <w:r>
              <w:t>Les différentes canalisations accessibles sont repérées.</w:t>
            </w:r>
          </w:p>
        </w:tc>
        <w:tc>
          <w:tcPr>
            <w:tcW w:w="1560" w:type="dxa"/>
            <w:shd w:val="clear" w:color="auto" w:fill="auto"/>
          </w:tcPr>
          <w:p w14:paraId="7087B728" w14:textId="2174A50F" w:rsidR="00B969BD" w:rsidRPr="002702C6" w:rsidRDefault="000D2B11" w:rsidP="00BE719D">
            <w:r>
              <w:t>Non applicable</w:t>
            </w:r>
          </w:p>
        </w:tc>
        <w:tc>
          <w:tcPr>
            <w:tcW w:w="4501" w:type="dxa"/>
            <w:shd w:val="clear" w:color="auto" w:fill="auto"/>
          </w:tcPr>
          <w:p w14:paraId="218A7BC2" w14:textId="3F8FFF69" w:rsidR="00B969BD" w:rsidRDefault="000D2B11" w:rsidP="00BE719D">
            <w:r>
              <w:t>Absence de canalisations sur site.</w:t>
            </w:r>
          </w:p>
        </w:tc>
      </w:tr>
      <w:tr w:rsidR="000D2B11" w14:paraId="4228320E" w14:textId="77777777" w:rsidTr="000D2B11">
        <w:tc>
          <w:tcPr>
            <w:tcW w:w="7933" w:type="dxa"/>
          </w:tcPr>
          <w:p w14:paraId="191476A0" w14:textId="1EDA833C" w:rsidR="000D2B11" w:rsidRDefault="000D2B11" w:rsidP="00BE719D">
            <w:r>
              <w:t>Un schéma de tous les réseaux et un plan des égouts sont établis.</w:t>
            </w:r>
          </w:p>
        </w:tc>
        <w:tc>
          <w:tcPr>
            <w:tcW w:w="1560" w:type="dxa"/>
          </w:tcPr>
          <w:p w14:paraId="41178D79" w14:textId="4DDA474B" w:rsidR="000D2B11" w:rsidRPr="002702C6" w:rsidRDefault="000D2B11" w:rsidP="00BE719D">
            <w:r>
              <w:t>Non applicable</w:t>
            </w:r>
          </w:p>
        </w:tc>
        <w:tc>
          <w:tcPr>
            <w:tcW w:w="4501" w:type="dxa"/>
          </w:tcPr>
          <w:p w14:paraId="3F9B4162" w14:textId="1537FCFB" w:rsidR="000D2B11" w:rsidRDefault="000D2B11" w:rsidP="00BE719D">
            <w:r>
              <w:t>Absence de réseaux sur site.</w:t>
            </w:r>
          </w:p>
        </w:tc>
      </w:tr>
      <w:tr w:rsidR="000D2B11" w:rsidRPr="00321243" w14:paraId="6C958E25" w14:textId="77777777" w:rsidTr="000D2B11">
        <w:tc>
          <w:tcPr>
            <w:tcW w:w="7933" w:type="dxa"/>
          </w:tcPr>
          <w:p w14:paraId="1B151AAE" w14:textId="63E893A8" w:rsidR="000D2B11" w:rsidRPr="00321243" w:rsidRDefault="00321243" w:rsidP="00BE719D">
            <w:pPr>
              <w:rPr>
                <w:b/>
                <w:bCs/>
              </w:rPr>
            </w:pPr>
            <w:r w:rsidRPr="00321243">
              <w:rPr>
                <w:b/>
                <w:bCs/>
              </w:rPr>
              <w:t>3.2 Entretien et surveillance</w:t>
            </w:r>
          </w:p>
        </w:tc>
        <w:tc>
          <w:tcPr>
            <w:tcW w:w="1560" w:type="dxa"/>
          </w:tcPr>
          <w:p w14:paraId="13AD45A7" w14:textId="77777777" w:rsidR="000D2B11" w:rsidRPr="00321243" w:rsidRDefault="000D2B11" w:rsidP="00BE719D">
            <w:pPr>
              <w:rPr>
                <w:b/>
                <w:bCs/>
              </w:rPr>
            </w:pPr>
          </w:p>
        </w:tc>
        <w:tc>
          <w:tcPr>
            <w:tcW w:w="4501" w:type="dxa"/>
          </w:tcPr>
          <w:p w14:paraId="7955D33C" w14:textId="77777777" w:rsidR="000D2B11" w:rsidRPr="00321243" w:rsidRDefault="000D2B11" w:rsidP="00BE719D">
            <w:pPr>
              <w:rPr>
                <w:b/>
                <w:bCs/>
              </w:rPr>
            </w:pPr>
          </w:p>
        </w:tc>
      </w:tr>
      <w:tr w:rsidR="000D2B11" w14:paraId="2B217674" w14:textId="77777777" w:rsidTr="000D2B11">
        <w:tc>
          <w:tcPr>
            <w:tcW w:w="7933" w:type="dxa"/>
          </w:tcPr>
          <w:p w14:paraId="407B0A44" w14:textId="306DCC84" w:rsidR="000D2B11" w:rsidRDefault="00321243" w:rsidP="00BE719D">
            <w:r>
              <w:t>Les réseaux de collecte des effluents sont conçus et aménagés de manière à curables, étanches et résister dans le temps aux actions physiques et chimiques des effluents.</w:t>
            </w:r>
          </w:p>
        </w:tc>
        <w:tc>
          <w:tcPr>
            <w:tcW w:w="1560" w:type="dxa"/>
          </w:tcPr>
          <w:p w14:paraId="4B45B10A" w14:textId="0E5ECF6D" w:rsidR="000D2B11" w:rsidRPr="002702C6" w:rsidRDefault="00321243" w:rsidP="00BE719D">
            <w:r>
              <w:t>Non applicable</w:t>
            </w:r>
          </w:p>
        </w:tc>
        <w:tc>
          <w:tcPr>
            <w:tcW w:w="4501" w:type="dxa"/>
          </w:tcPr>
          <w:p w14:paraId="4BA59A68" w14:textId="683B9A1B" w:rsidR="000D2B11" w:rsidRDefault="00321243" w:rsidP="00BE719D">
            <w:r>
              <w:t>Pas de rejets d’effluents.</w:t>
            </w:r>
          </w:p>
        </w:tc>
      </w:tr>
      <w:tr w:rsidR="00321243" w:rsidRPr="00321243" w14:paraId="40AB32B2" w14:textId="77777777" w:rsidTr="00BE719D">
        <w:tc>
          <w:tcPr>
            <w:tcW w:w="7933" w:type="dxa"/>
          </w:tcPr>
          <w:p w14:paraId="4AF5E739" w14:textId="546195E3" w:rsidR="00321243" w:rsidRPr="00321243" w:rsidRDefault="00321243" w:rsidP="00BE719D">
            <w:pPr>
              <w:rPr>
                <w:b/>
                <w:bCs/>
              </w:rPr>
            </w:pPr>
            <w:r w:rsidRPr="00321243">
              <w:rPr>
                <w:b/>
                <w:bCs/>
              </w:rPr>
              <w:t>3.3 Caractéristiques générales de l’ensemble de rejets</w:t>
            </w:r>
          </w:p>
        </w:tc>
        <w:tc>
          <w:tcPr>
            <w:tcW w:w="1560" w:type="dxa"/>
          </w:tcPr>
          <w:p w14:paraId="56B45E02" w14:textId="116BDA00" w:rsidR="00321243" w:rsidRPr="00321243" w:rsidRDefault="00321243" w:rsidP="00BE719D">
            <w:r w:rsidRPr="00321243">
              <w:t>Non applicable</w:t>
            </w:r>
          </w:p>
        </w:tc>
        <w:tc>
          <w:tcPr>
            <w:tcW w:w="4501" w:type="dxa"/>
          </w:tcPr>
          <w:p w14:paraId="60874692" w14:textId="43E8B6C3" w:rsidR="00321243" w:rsidRPr="00321243" w:rsidRDefault="00321243" w:rsidP="00BE719D">
            <w:pPr>
              <w:rPr>
                <w:b/>
                <w:bCs/>
              </w:rPr>
            </w:pPr>
            <w:r>
              <w:t>Pas de rejets d’effluents.</w:t>
            </w:r>
          </w:p>
        </w:tc>
      </w:tr>
      <w:tr w:rsidR="00321243" w:rsidRPr="00321243" w14:paraId="527181BB" w14:textId="77777777" w:rsidTr="00BE719D">
        <w:tc>
          <w:tcPr>
            <w:tcW w:w="7933" w:type="dxa"/>
          </w:tcPr>
          <w:p w14:paraId="02C4A079" w14:textId="7543B2E0" w:rsidR="00321243" w:rsidRPr="00321243" w:rsidRDefault="00321243" w:rsidP="00BE719D">
            <w:pPr>
              <w:rPr>
                <w:b/>
                <w:bCs/>
              </w:rPr>
            </w:pPr>
            <w:r w:rsidRPr="00321243">
              <w:rPr>
                <w:b/>
                <w:bCs/>
              </w:rPr>
              <w:t>3.4 Eaux pluviales</w:t>
            </w:r>
          </w:p>
        </w:tc>
        <w:tc>
          <w:tcPr>
            <w:tcW w:w="1560" w:type="dxa"/>
          </w:tcPr>
          <w:p w14:paraId="4C4CF236" w14:textId="77777777" w:rsidR="00321243" w:rsidRPr="00321243" w:rsidRDefault="00321243" w:rsidP="00BE719D">
            <w:pPr>
              <w:rPr>
                <w:b/>
                <w:bCs/>
              </w:rPr>
            </w:pPr>
          </w:p>
        </w:tc>
        <w:tc>
          <w:tcPr>
            <w:tcW w:w="4501" w:type="dxa"/>
          </w:tcPr>
          <w:p w14:paraId="3EF4DA8F" w14:textId="77777777" w:rsidR="00321243" w:rsidRPr="00321243" w:rsidRDefault="00321243" w:rsidP="00BE719D">
            <w:pPr>
              <w:rPr>
                <w:b/>
                <w:bCs/>
              </w:rPr>
            </w:pPr>
          </w:p>
        </w:tc>
      </w:tr>
      <w:tr w:rsidR="00321243" w14:paraId="63D22FB9" w14:textId="77777777" w:rsidTr="006C60AF">
        <w:tc>
          <w:tcPr>
            <w:tcW w:w="7933" w:type="dxa"/>
          </w:tcPr>
          <w:p w14:paraId="678ABE58" w14:textId="3F888C40" w:rsidR="00321243" w:rsidRDefault="00321243" w:rsidP="00BE719D">
            <w:r>
              <w:t>Les eaux pluviales non souillées sont évacuées par un réseau spécifique.</w:t>
            </w:r>
          </w:p>
        </w:tc>
        <w:tc>
          <w:tcPr>
            <w:tcW w:w="1560" w:type="dxa"/>
            <w:shd w:val="clear" w:color="auto" w:fill="FFC000"/>
          </w:tcPr>
          <w:p w14:paraId="50B526E3" w14:textId="11A0CF67" w:rsidR="00321243" w:rsidRPr="002702C6" w:rsidRDefault="006C60AF" w:rsidP="00BE719D">
            <w:r>
              <w:t>Point de progrès</w:t>
            </w:r>
          </w:p>
        </w:tc>
        <w:tc>
          <w:tcPr>
            <w:tcW w:w="4501" w:type="dxa"/>
          </w:tcPr>
          <w:p w14:paraId="50A1A20A" w14:textId="6DA344B5" w:rsidR="00321243" w:rsidRDefault="00F90D7F" w:rsidP="00BE719D">
            <w:r>
              <w:t>Les eaux pluviales seront drainées sur la parcelle par des tranchées drainantes.</w:t>
            </w:r>
          </w:p>
        </w:tc>
      </w:tr>
      <w:tr w:rsidR="00321243" w14:paraId="69DBF308" w14:textId="77777777" w:rsidTr="00BE719D">
        <w:tc>
          <w:tcPr>
            <w:tcW w:w="7933" w:type="dxa"/>
          </w:tcPr>
          <w:p w14:paraId="117DC119" w14:textId="27089EB6" w:rsidR="00321243" w:rsidRDefault="00321243" w:rsidP="00BE719D">
            <w:r>
              <w:t>Les eaux pluviales susceptibles d’être polluées sont collectées par un réseau spécifique et traitées par un dispositif séparateur d’hydrocarbures ou tout autre équipement équivalent.</w:t>
            </w:r>
          </w:p>
        </w:tc>
        <w:tc>
          <w:tcPr>
            <w:tcW w:w="1560" w:type="dxa"/>
          </w:tcPr>
          <w:p w14:paraId="20659D59" w14:textId="48A0C561" w:rsidR="00321243" w:rsidRPr="002702C6" w:rsidRDefault="00321243" w:rsidP="00BE719D">
            <w:r>
              <w:t>Non applicable</w:t>
            </w:r>
          </w:p>
        </w:tc>
        <w:tc>
          <w:tcPr>
            <w:tcW w:w="4501" w:type="dxa"/>
          </w:tcPr>
          <w:p w14:paraId="75521AD2" w14:textId="206392EF" w:rsidR="00321243" w:rsidRDefault="00321243" w:rsidP="00BE719D">
            <w:r>
              <w:t>Absence de véhicule sur site en dehors de la période des moissons.</w:t>
            </w:r>
          </w:p>
        </w:tc>
      </w:tr>
      <w:tr w:rsidR="00321243" w:rsidRPr="00321243" w14:paraId="741C9B51" w14:textId="77777777" w:rsidTr="00BE719D">
        <w:tc>
          <w:tcPr>
            <w:tcW w:w="7933" w:type="dxa"/>
          </w:tcPr>
          <w:p w14:paraId="0408EDFB" w14:textId="558DFE57" w:rsidR="00321243" w:rsidRPr="00321243" w:rsidRDefault="00321243" w:rsidP="00BE719D">
            <w:pPr>
              <w:rPr>
                <w:b/>
                <w:bCs/>
              </w:rPr>
            </w:pPr>
            <w:r w:rsidRPr="00321243">
              <w:rPr>
                <w:b/>
                <w:bCs/>
              </w:rPr>
              <w:t>3.5 Eaux domestiques</w:t>
            </w:r>
          </w:p>
        </w:tc>
        <w:tc>
          <w:tcPr>
            <w:tcW w:w="1560" w:type="dxa"/>
          </w:tcPr>
          <w:p w14:paraId="659E720D" w14:textId="35B04626" w:rsidR="00321243" w:rsidRPr="00321243" w:rsidRDefault="00321243" w:rsidP="00BE719D">
            <w:r w:rsidRPr="00321243">
              <w:t>Non applicable</w:t>
            </w:r>
          </w:p>
        </w:tc>
        <w:tc>
          <w:tcPr>
            <w:tcW w:w="4501" w:type="dxa"/>
          </w:tcPr>
          <w:p w14:paraId="0A8A3B96" w14:textId="7560E5C1" w:rsidR="00321243" w:rsidRPr="00321243" w:rsidRDefault="00321243" w:rsidP="00BE719D">
            <w:r w:rsidRPr="00321243">
              <w:t>Pas de rejets d’eaux domestiques.</w:t>
            </w:r>
          </w:p>
        </w:tc>
      </w:tr>
    </w:tbl>
    <w:p w14:paraId="5F9DD351" w14:textId="6F055D64" w:rsidR="00F90D7F" w:rsidRDefault="00F90D7F"/>
    <w:p w14:paraId="3BDCBF3D" w14:textId="77777777" w:rsidR="00F90D7F" w:rsidRDefault="00F90D7F">
      <w:r>
        <w:br w:type="page"/>
      </w:r>
    </w:p>
    <w:p w14:paraId="7F4E043C" w14:textId="77777777" w:rsidR="008B34EF" w:rsidRDefault="008B34EF"/>
    <w:tbl>
      <w:tblPr>
        <w:tblStyle w:val="Grilledutableau"/>
        <w:tblW w:w="0" w:type="auto"/>
        <w:tblLook w:val="04A0" w:firstRow="1" w:lastRow="0" w:firstColumn="1" w:lastColumn="0" w:noHBand="0" w:noVBand="1"/>
      </w:tblPr>
      <w:tblGrid>
        <w:gridCol w:w="7933"/>
        <w:gridCol w:w="1560"/>
        <w:gridCol w:w="4501"/>
      </w:tblGrid>
      <w:tr w:rsidR="00321243" w:rsidRPr="002702C6" w14:paraId="44E24D25" w14:textId="77777777" w:rsidTr="00BE719D">
        <w:tc>
          <w:tcPr>
            <w:tcW w:w="7933" w:type="dxa"/>
            <w:shd w:val="clear" w:color="auto" w:fill="AEAAAA" w:themeFill="background2" w:themeFillShade="BF"/>
          </w:tcPr>
          <w:p w14:paraId="5A8B97E4" w14:textId="7F5AC438" w:rsidR="00321243" w:rsidRPr="002702C6" w:rsidRDefault="00321243" w:rsidP="00BE719D">
            <w:pPr>
              <w:rPr>
                <w:b/>
                <w:bCs/>
              </w:rPr>
            </w:pPr>
            <w:r>
              <w:rPr>
                <w:b/>
                <w:bCs/>
              </w:rPr>
              <w:t>4- Déchets</w:t>
            </w:r>
          </w:p>
        </w:tc>
        <w:tc>
          <w:tcPr>
            <w:tcW w:w="1560" w:type="dxa"/>
            <w:shd w:val="clear" w:color="auto" w:fill="AEAAAA" w:themeFill="background2" w:themeFillShade="BF"/>
          </w:tcPr>
          <w:p w14:paraId="384EF2D9" w14:textId="77777777" w:rsidR="00321243" w:rsidRPr="002702C6" w:rsidRDefault="00321243" w:rsidP="00BE719D">
            <w:pPr>
              <w:rPr>
                <w:b/>
                <w:bCs/>
              </w:rPr>
            </w:pPr>
          </w:p>
        </w:tc>
        <w:tc>
          <w:tcPr>
            <w:tcW w:w="4501" w:type="dxa"/>
            <w:shd w:val="clear" w:color="auto" w:fill="AEAAAA" w:themeFill="background2" w:themeFillShade="BF"/>
          </w:tcPr>
          <w:p w14:paraId="47C753AF" w14:textId="77777777" w:rsidR="00321243" w:rsidRPr="002702C6" w:rsidRDefault="00321243" w:rsidP="00BE719D">
            <w:pPr>
              <w:rPr>
                <w:b/>
                <w:bCs/>
              </w:rPr>
            </w:pPr>
          </w:p>
        </w:tc>
      </w:tr>
      <w:tr w:rsidR="00321243" w:rsidRPr="00672A69" w14:paraId="4DD8F77C" w14:textId="77777777" w:rsidTr="00BE719D">
        <w:tc>
          <w:tcPr>
            <w:tcW w:w="7933" w:type="dxa"/>
          </w:tcPr>
          <w:p w14:paraId="38B665D9" w14:textId="3FD54120" w:rsidR="00321243" w:rsidRPr="00672A69" w:rsidRDefault="00321243" w:rsidP="00BE719D">
            <w:pPr>
              <w:rPr>
                <w:b/>
                <w:bCs/>
              </w:rPr>
            </w:pPr>
            <w:r>
              <w:rPr>
                <w:b/>
                <w:bCs/>
              </w:rPr>
              <w:t>4.1 Généralités</w:t>
            </w:r>
          </w:p>
        </w:tc>
        <w:tc>
          <w:tcPr>
            <w:tcW w:w="1560" w:type="dxa"/>
          </w:tcPr>
          <w:p w14:paraId="486E14C4" w14:textId="77777777" w:rsidR="00321243" w:rsidRPr="00672A69" w:rsidRDefault="00321243" w:rsidP="00BE719D">
            <w:pPr>
              <w:rPr>
                <w:b/>
                <w:bCs/>
              </w:rPr>
            </w:pPr>
          </w:p>
        </w:tc>
        <w:tc>
          <w:tcPr>
            <w:tcW w:w="4501" w:type="dxa"/>
          </w:tcPr>
          <w:p w14:paraId="421F825D" w14:textId="77777777" w:rsidR="00321243" w:rsidRPr="00672A69" w:rsidRDefault="00321243" w:rsidP="00BE719D">
            <w:pPr>
              <w:rPr>
                <w:b/>
                <w:bCs/>
              </w:rPr>
            </w:pPr>
          </w:p>
        </w:tc>
      </w:tr>
      <w:tr w:rsidR="00321243" w14:paraId="112D5A8C" w14:textId="77777777" w:rsidTr="00BE719D">
        <w:tc>
          <w:tcPr>
            <w:tcW w:w="7933" w:type="dxa"/>
            <w:shd w:val="clear" w:color="auto" w:fill="auto"/>
          </w:tcPr>
          <w:p w14:paraId="179B37C0" w14:textId="155216B9" w:rsidR="00321243" w:rsidRDefault="00321243" w:rsidP="00BE719D">
            <w:r>
              <w:t>L’exploitant prend toutes les dispositions nécessaires pour assurer la gestion des déchets.</w:t>
            </w:r>
          </w:p>
        </w:tc>
        <w:tc>
          <w:tcPr>
            <w:tcW w:w="1560" w:type="dxa"/>
            <w:shd w:val="clear" w:color="auto" w:fill="auto"/>
          </w:tcPr>
          <w:p w14:paraId="38B68336" w14:textId="77893BDF" w:rsidR="00321243" w:rsidRPr="002702C6" w:rsidRDefault="00321243" w:rsidP="00BE719D">
            <w:r>
              <w:t>Non applicable</w:t>
            </w:r>
          </w:p>
        </w:tc>
        <w:tc>
          <w:tcPr>
            <w:tcW w:w="4501" w:type="dxa"/>
            <w:shd w:val="clear" w:color="auto" w:fill="auto"/>
          </w:tcPr>
          <w:p w14:paraId="4CD48CE0" w14:textId="28673EE5" w:rsidR="00321243" w:rsidRDefault="00321243" w:rsidP="00BE719D">
            <w:r>
              <w:t>Pas de déchets sur site.</w:t>
            </w:r>
          </w:p>
        </w:tc>
      </w:tr>
      <w:tr w:rsidR="00321243" w14:paraId="366BA0CD" w14:textId="77777777" w:rsidTr="00BE719D">
        <w:tc>
          <w:tcPr>
            <w:tcW w:w="7933" w:type="dxa"/>
          </w:tcPr>
          <w:p w14:paraId="13F7794A" w14:textId="1AEC88D1" w:rsidR="00321243" w:rsidRDefault="00BF627C" w:rsidP="00BE719D">
            <w:r>
              <w:t xml:space="preserve">Stockage des déchets </w:t>
            </w:r>
          </w:p>
        </w:tc>
        <w:tc>
          <w:tcPr>
            <w:tcW w:w="1560" w:type="dxa"/>
          </w:tcPr>
          <w:p w14:paraId="17F4C9DA" w14:textId="00FCA587" w:rsidR="00321243" w:rsidRPr="002702C6" w:rsidRDefault="00321243" w:rsidP="00BE719D"/>
        </w:tc>
        <w:tc>
          <w:tcPr>
            <w:tcW w:w="4501" w:type="dxa"/>
          </w:tcPr>
          <w:p w14:paraId="24F06BFD" w14:textId="13961DA9" w:rsidR="00321243" w:rsidRDefault="00321243" w:rsidP="00BE719D"/>
        </w:tc>
      </w:tr>
      <w:tr w:rsidR="00321243" w:rsidRPr="00321243" w14:paraId="68598DDA" w14:textId="77777777" w:rsidTr="00BE719D">
        <w:tc>
          <w:tcPr>
            <w:tcW w:w="7933" w:type="dxa"/>
          </w:tcPr>
          <w:p w14:paraId="5A04B4C8" w14:textId="41BEF2F2" w:rsidR="00321243" w:rsidRPr="00321243" w:rsidRDefault="00BF627C" w:rsidP="00BE719D">
            <w:pPr>
              <w:rPr>
                <w:b/>
                <w:bCs/>
              </w:rPr>
            </w:pPr>
            <w:r>
              <w:rPr>
                <w:b/>
                <w:bCs/>
              </w:rPr>
              <w:t>4.2 Stockage des déchets</w:t>
            </w:r>
          </w:p>
        </w:tc>
        <w:tc>
          <w:tcPr>
            <w:tcW w:w="1560" w:type="dxa"/>
          </w:tcPr>
          <w:p w14:paraId="01985479" w14:textId="77777777" w:rsidR="00321243" w:rsidRPr="00321243" w:rsidRDefault="00321243" w:rsidP="00BE719D">
            <w:pPr>
              <w:rPr>
                <w:b/>
                <w:bCs/>
              </w:rPr>
            </w:pPr>
          </w:p>
        </w:tc>
        <w:tc>
          <w:tcPr>
            <w:tcW w:w="4501" w:type="dxa"/>
          </w:tcPr>
          <w:p w14:paraId="4BED4414" w14:textId="77777777" w:rsidR="00321243" w:rsidRPr="00321243" w:rsidRDefault="00321243" w:rsidP="00BE719D">
            <w:pPr>
              <w:rPr>
                <w:b/>
                <w:bCs/>
              </w:rPr>
            </w:pPr>
          </w:p>
        </w:tc>
      </w:tr>
      <w:tr w:rsidR="00321243" w14:paraId="4CFAB787" w14:textId="77777777" w:rsidTr="00BE719D">
        <w:tc>
          <w:tcPr>
            <w:tcW w:w="7933" w:type="dxa"/>
          </w:tcPr>
          <w:p w14:paraId="4EA3E0A7" w14:textId="637692B4" w:rsidR="00321243" w:rsidRDefault="00BF627C" w:rsidP="00BE719D">
            <w:r>
              <w:t>Les déchets et résidus produits sont stockés avant leur valorisation ou élimination.</w:t>
            </w:r>
          </w:p>
        </w:tc>
        <w:tc>
          <w:tcPr>
            <w:tcW w:w="1560" w:type="dxa"/>
          </w:tcPr>
          <w:p w14:paraId="7FEE3530" w14:textId="30F2EECF" w:rsidR="00321243" w:rsidRPr="002702C6" w:rsidRDefault="00BF627C" w:rsidP="00BE719D">
            <w:r>
              <w:t>Non applicable</w:t>
            </w:r>
          </w:p>
        </w:tc>
        <w:tc>
          <w:tcPr>
            <w:tcW w:w="4501" w:type="dxa"/>
          </w:tcPr>
          <w:p w14:paraId="707B806D" w14:textId="42576FE5" w:rsidR="00321243" w:rsidRDefault="00BF627C" w:rsidP="00BE719D">
            <w:r>
              <w:t>Pas de production de déchets.</w:t>
            </w:r>
          </w:p>
        </w:tc>
      </w:tr>
      <w:tr w:rsidR="00321243" w:rsidRPr="00321243" w14:paraId="4ABAC544" w14:textId="77777777" w:rsidTr="00BE719D">
        <w:tc>
          <w:tcPr>
            <w:tcW w:w="7933" w:type="dxa"/>
          </w:tcPr>
          <w:p w14:paraId="495F9F78" w14:textId="2FECA6FB" w:rsidR="00321243" w:rsidRPr="00321243" w:rsidRDefault="00BF627C" w:rsidP="00BE719D">
            <w:pPr>
              <w:rPr>
                <w:b/>
                <w:bCs/>
              </w:rPr>
            </w:pPr>
            <w:r>
              <w:rPr>
                <w:b/>
                <w:bCs/>
              </w:rPr>
              <w:t>4.3 Elimination des déchets</w:t>
            </w:r>
          </w:p>
        </w:tc>
        <w:tc>
          <w:tcPr>
            <w:tcW w:w="1560" w:type="dxa"/>
          </w:tcPr>
          <w:p w14:paraId="747587DF" w14:textId="1B8E6516" w:rsidR="00321243" w:rsidRPr="00321243" w:rsidRDefault="00321243" w:rsidP="00BE719D"/>
        </w:tc>
        <w:tc>
          <w:tcPr>
            <w:tcW w:w="4501" w:type="dxa"/>
          </w:tcPr>
          <w:p w14:paraId="5BEA6893" w14:textId="5A9830A1" w:rsidR="00321243" w:rsidRPr="00321243" w:rsidRDefault="00321243" w:rsidP="00BE719D">
            <w:pPr>
              <w:rPr>
                <w:b/>
                <w:bCs/>
              </w:rPr>
            </w:pPr>
          </w:p>
        </w:tc>
      </w:tr>
      <w:tr w:rsidR="00321243" w:rsidRPr="00BF627C" w14:paraId="028DF032" w14:textId="77777777" w:rsidTr="00BE719D">
        <w:tc>
          <w:tcPr>
            <w:tcW w:w="7933" w:type="dxa"/>
          </w:tcPr>
          <w:p w14:paraId="7A2E90D3" w14:textId="640979BC" w:rsidR="00321243" w:rsidRPr="00BF627C" w:rsidRDefault="00BF627C" w:rsidP="00BE719D">
            <w:r w:rsidRPr="00BF627C">
              <w:t xml:space="preserve"> Les déchets ne pouvant être valorisés </w:t>
            </w:r>
            <w:r>
              <w:t>sont éliminés en installations réglementées.</w:t>
            </w:r>
          </w:p>
        </w:tc>
        <w:tc>
          <w:tcPr>
            <w:tcW w:w="1560" w:type="dxa"/>
          </w:tcPr>
          <w:p w14:paraId="6776E7A9" w14:textId="02765DA2" w:rsidR="00321243" w:rsidRPr="00BF627C" w:rsidRDefault="00BF627C" w:rsidP="00BE719D">
            <w:r>
              <w:t>Non applicable</w:t>
            </w:r>
          </w:p>
        </w:tc>
        <w:tc>
          <w:tcPr>
            <w:tcW w:w="4501" w:type="dxa"/>
          </w:tcPr>
          <w:p w14:paraId="57A225B8" w14:textId="262E625E" w:rsidR="00321243" w:rsidRPr="00BF627C" w:rsidRDefault="00BF627C" w:rsidP="00BE719D">
            <w:r>
              <w:t>Pas de déchets sur site.</w:t>
            </w:r>
          </w:p>
        </w:tc>
      </w:tr>
    </w:tbl>
    <w:p w14:paraId="2ECF0657" w14:textId="0423701E" w:rsidR="00F90D7F" w:rsidRDefault="00F90D7F"/>
    <w:p w14:paraId="5E90EFEF" w14:textId="77777777" w:rsidR="00F90D7F" w:rsidRDefault="00F90D7F">
      <w:r>
        <w:br w:type="page"/>
      </w:r>
    </w:p>
    <w:p w14:paraId="2D612DB6" w14:textId="77777777" w:rsidR="008B34EF" w:rsidRDefault="008B34EF"/>
    <w:tbl>
      <w:tblPr>
        <w:tblStyle w:val="Grilledutableau"/>
        <w:tblW w:w="0" w:type="auto"/>
        <w:tblLook w:val="04A0" w:firstRow="1" w:lastRow="0" w:firstColumn="1" w:lastColumn="0" w:noHBand="0" w:noVBand="1"/>
      </w:tblPr>
      <w:tblGrid>
        <w:gridCol w:w="7933"/>
        <w:gridCol w:w="1560"/>
        <w:gridCol w:w="4501"/>
      </w:tblGrid>
      <w:tr w:rsidR="00286180" w:rsidRPr="002702C6" w14:paraId="2664F710" w14:textId="77777777" w:rsidTr="00BE719D">
        <w:tc>
          <w:tcPr>
            <w:tcW w:w="7933" w:type="dxa"/>
            <w:shd w:val="clear" w:color="auto" w:fill="AEAAAA" w:themeFill="background2" w:themeFillShade="BF"/>
          </w:tcPr>
          <w:p w14:paraId="16A6A20A" w14:textId="7351DE84" w:rsidR="00286180" w:rsidRPr="002702C6" w:rsidRDefault="00286180" w:rsidP="00BE719D">
            <w:pPr>
              <w:rPr>
                <w:b/>
                <w:bCs/>
              </w:rPr>
            </w:pPr>
            <w:r>
              <w:rPr>
                <w:b/>
                <w:bCs/>
              </w:rPr>
              <w:t>5- Bruit</w:t>
            </w:r>
          </w:p>
        </w:tc>
        <w:tc>
          <w:tcPr>
            <w:tcW w:w="1560" w:type="dxa"/>
            <w:shd w:val="clear" w:color="auto" w:fill="AEAAAA" w:themeFill="background2" w:themeFillShade="BF"/>
          </w:tcPr>
          <w:p w14:paraId="11A30C4A" w14:textId="77777777" w:rsidR="00286180" w:rsidRPr="002702C6" w:rsidRDefault="00286180" w:rsidP="00BE719D">
            <w:pPr>
              <w:rPr>
                <w:b/>
                <w:bCs/>
              </w:rPr>
            </w:pPr>
          </w:p>
        </w:tc>
        <w:tc>
          <w:tcPr>
            <w:tcW w:w="4501" w:type="dxa"/>
            <w:shd w:val="clear" w:color="auto" w:fill="AEAAAA" w:themeFill="background2" w:themeFillShade="BF"/>
          </w:tcPr>
          <w:p w14:paraId="371B1E44" w14:textId="77777777" w:rsidR="00286180" w:rsidRPr="002702C6" w:rsidRDefault="00286180" w:rsidP="00BE719D">
            <w:pPr>
              <w:rPr>
                <w:b/>
                <w:bCs/>
              </w:rPr>
            </w:pPr>
          </w:p>
        </w:tc>
      </w:tr>
      <w:tr w:rsidR="00286180" w:rsidRPr="00672A69" w14:paraId="350DCE48" w14:textId="77777777" w:rsidTr="00BE719D">
        <w:tc>
          <w:tcPr>
            <w:tcW w:w="7933" w:type="dxa"/>
          </w:tcPr>
          <w:p w14:paraId="0A66EAEC" w14:textId="10EEA2A5" w:rsidR="00286180" w:rsidRPr="00672A69" w:rsidRDefault="00286180" w:rsidP="00BE719D">
            <w:pPr>
              <w:rPr>
                <w:b/>
                <w:bCs/>
              </w:rPr>
            </w:pPr>
            <w:r>
              <w:rPr>
                <w:b/>
                <w:bCs/>
              </w:rPr>
              <w:t>5.1 Valeurs limites de bruit</w:t>
            </w:r>
          </w:p>
        </w:tc>
        <w:tc>
          <w:tcPr>
            <w:tcW w:w="1560" w:type="dxa"/>
          </w:tcPr>
          <w:p w14:paraId="294F0580" w14:textId="20976F5A" w:rsidR="00286180" w:rsidRPr="00286180" w:rsidRDefault="00286180" w:rsidP="00BE719D">
            <w:r w:rsidRPr="00286180">
              <w:t>Non applicable</w:t>
            </w:r>
          </w:p>
        </w:tc>
        <w:tc>
          <w:tcPr>
            <w:tcW w:w="4501" w:type="dxa"/>
          </w:tcPr>
          <w:p w14:paraId="7A1526B3" w14:textId="77777777" w:rsidR="00286180" w:rsidRPr="00286180" w:rsidRDefault="00286180" w:rsidP="00BE719D">
            <w:r w:rsidRPr="00286180">
              <w:t>Stockage inerte de pailles et fourrage.</w:t>
            </w:r>
          </w:p>
          <w:p w14:paraId="4C9B85DA" w14:textId="77777777" w:rsidR="00286180" w:rsidRPr="00286180" w:rsidRDefault="00286180" w:rsidP="00BE719D">
            <w:r w:rsidRPr="00286180">
              <w:t>Pas d’installations fixes motorisées.</w:t>
            </w:r>
          </w:p>
          <w:p w14:paraId="5792C7F4" w14:textId="2B8BBFF6" w:rsidR="00286180" w:rsidRPr="00286180" w:rsidRDefault="00286180" w:rsidP="00BE719D">
            <w:r w:rsidRPr="00286180">
              <w:t>Pas d’engins sur site.</w:t>
            </w:r>
          </w:p>
        </w:tc>
      </w:tr>
      <w:tr w:rsidR="00286180" w:rsidRPr="00286180" w14:paraId="7B606C53" w14:textId="77777777" w:rsidTr="00BE719D">
        <w:tc>
          <w:tcPr>
            <w:tcW w:w="7933" w:type="dxa"/>
            <w:shd w:val="clear" w:color="auto" w:fill="auto"/>
          </w:tcPr>
          <w:p w14:paraId="6DAF768C" w14:textId="28F38B61" w:rsidR="00286180" w:rsidRPr="00286180" w:rsidRDefault="00286180" w:rsidP="00BE719D">
            <w:pPr>
              <w:rPr>
                <w:b/>
                <w:bCs/>
              </w:rPr>
            </w:pPr>
            <w:r w:rsidRPr="00286180">
              <w:rPr>
                <w:b/>
                <w:bCs/>
              </w:rPr>
              <w:t>5.2 Véhicules – Engins de chantier</w:t>
            </w:r>
          </w:p>
        </w:tc>
        <w:tc>
          <w:tcPr>
            <w:tcW w:w="1560" w:type="dxa"/>
            <w:shd w:val="clear" w:color="auto" w:fill="auto"/>
          </w:tcPr>
          <w:p w14:paraId="7F63C341" w14:textId="12DF335D" w:rsidR="00286180" w:rsidRPr="00286180" w:rsidRDefault="00286180" w:rsidP="00BE719D">
            <w:pPr>
              <w:rPr>
                <w:b/>
                <w:bCs/>
              </w:rPr>
            </w:pPr>
          </w:p>
        </w:tc>
        <w:tc>
          <w:tcPr>
            <w:tcW w:w="4501" w:type="dxa"/>
            <w:shd w:val="clear" w:color="auto" w:fill="auto"/>
          </w:tcPr>
          <w:p w14:paraId="3146921F" w14:textId="6FAB1F5D" w:rsidR="00286180" w:rsidRPr="00286180" w:rsidRDefault="00286180" w:rsidP="00BE719D">
            <w:pPr>
              <w:rPr>
                <w:b/>
                <w:bCs/>
              </w:rPr>
            </w:pPr>
          </w:p>
        </w:tc>
      </w:tr>
      <w:tr w:rsidR="00286180" w14:paraId="3CD77903" w14:textId="77777777" w:rsidTr="00286180">
        <w:tc>
          <w:tcPr>
            <w:tcW w:w="7933" w:type="dxa"/>
          </w:tcPr>
          <w:p w14:paraId="3D28ADC7" w14:textId="75A109E6" w:rsidR="00286180" w:rsidRDefault="00286180" w:rsidP="00BE719D">
            <w:r>
              <w:t>Les véhicules de transport, matériels de manutention utilisés à l’intérieur de l’installation sont conformes aux dispositions en vigueur</w:t>
            </w:r>
          </w:p>
        </w:tc>
        <w:tc>
          <w:tcPr>
            <w:tcW w:w="1560" w:type="dxa"/>
            <w:shd w:val="clear" w:color="auto" w:fill="92D050"/>
          </w:tcPr>
          <w:p w14:paraId="5C9F8E6C" w14:textId="56DFCED4" w:rsidR="00286180" w:rsidRPr="002702C6" w:rsidRDefault="00286180" w:rsidP="00BE719D">
            <w:r>
              <w:t>Conforme</w:t>
            </w:r>
          </w:p>
        </w:tc>
        <w:tc>
          <w:tcPr>
            <w:tcW w:w="4501" w:type="dxa"/>
          </w:tcPr>
          <w:p w14:paraId="7027AAFC" w14:textId="7614541A" w:rsidR="00286180" w:rsidRDefault="00286180" w:rsidP="00BE719D">
            <w:r>
              <w:t>Utilisation de poids-lourds, tracteurs et remorques pendant la seule période des moissons.</w:t>
            </w:r>
          </w:p>
        </w:tc>
      </w:tr>
      <w:tr w:rsidR="00286180" w:rsidRPr="00321243" w14:paraId="37960BEC" w14:textId="77777777" w:rsidTr="00BE719D">
        <w:tc>
          <w:tcPr>
            <w:tcW w:w="7933" w:type="dxa"/>
          </w:tcPr>
          <w:p w14:paraId="314A3E7C" w14:textId="378BF93A" w:rsidR="00286180" w:rsidRPr="00321243" w:rsidRDefault="00286180" w:rsidP="00BE719D">
            <w:pPr>
              <w:rPr>
                <w:b/>
                <w:bCs/>
              </w:rPr>
            </w:pPr>
            <w:r>
              <w:rPr>
                <w:b/>
                <w:bCs/>
              </w:rPr>
              <w:t>5.3 Vibrations</w:t>
            </w:r>
          </w:p>
        </w:tc>
        <w:tc>
          <w:tcPr>
            <w:tcW w:w="1560" w:type="dxa"/>
          </w:tcPr>
          <w:p w14:paraId="084BDF16" w14:textId="43DB2FE2" w:rsidR="00286180" w:rsidRPr="00286180" w:rsidRDefault="00286180" w:rsidP="00BE719D">
            <w:r w:rsidRPr="00286180">
              <w:t>Non applicable</w:t>
            </w:r>
          </w:p>
        </w:tc>
        <w:tc>
          <w:tcPr>
            <w:tcW w:w="4501" w:type="dxa"/>
          </w:tcPr>
          <w:p w14:paraId="61B9FFC5" w14:textId="77777777" w:rsidR="00286180" w:rsidRPr="00321243" w:rsidRDefault="00286180" w:rsidP="00BE719D">
            <w:pPr>
              <w:rPr>
                <w:b/>
                <w:bCs/>
              </w:rPr>
            </w:pPr>
          </w:p>
        </w:tc>
      </w:tr>
      <w:tr w:rsidR="00286180" w:rsidRPr="00321243" w14:paraId="27629C40" w14:textId="77777777" w:rsidTr="00286180">
        <w:tc>
          <w:tcPr>
            <w:tcW w:w="7933" w:type="dxa"/>
          </w:tcPr>
          <w:p w14:paraId="0384CEF2" w14:textId="051E58CE" w:rsidR="00286180" w:rsidRPr="00321243" w:rsidRDefault="00286180" w:rsidP="00BE719D">
            <w:pPr>
              <w:rPr>
                <w:b/>
                <w:bCs/>
              </w:rPr>
            </w:pPr>
            <w:r>
              <w:rPr>
                <w:b/>
                <w:bCs/>
              </w:rPr>
              <w:t>5.4 Surveillance par l’exploitant des émissions sonores</w:t>
            </w:r>
          </w:p>
        </w:tc>
        <w:tc>
          <w:tcPr>
            <w:tcW w:w="1560" w:type="dxa"/>
          </w:tcPr>
          <w:p w14:paraId="1903CC1E" w14:textId="77777777" w:rsidR="00286180" w:rsidRPr="00286180" w:rsidRDefault="00286180" w:rsidP="00BE719D">
            <w:r w:rsidRPr="00286180">
              <w:t>Non applicable</w:t>
            </w:r>
          </w:p>
        </w:tc>
        <w:tc>
          <w:tcPr>
            <w:tcW w:w="4501" w:type="dxa"/>
          </w:tcPr>
          <w:p w14:paraId="41BA6933" w14:textId="741999D7" w:rsidR="00286180" w:rsidRPr="00286180" w:rsidRDefault="00286180" w:rsidP="00BE719D">
            <w:r w:rsidRPr="00286180">
              <w:t>Pas d’émissions sonores sur l’exploitation.</w:t>
            </w:r>
          </w:p>
        </w:tc>
      </w:tr>
    </w:tbl>
    <w:p w14:paraId="2BFFFD56" w14:textId="49F15C53" w:rsidR="00F90D7F" w:rsidRDefault="00F90D7F"/>
    <w:p w14:paraId="4B6FC49A" w14:textId="77777777" w:rsidR="00F90D7F" w:rsidRDefault="00F90D7F">
      <w:r>
        <w:br w:type="page"/>
      </w:r>
    </w:p>
    <w:p w14:paraId="4A200875" w14:textId="77777777" w:rsidR="00286180" w:rsidRDefault="00286180"/>
    <w:p w14:paraId="62496B08" w14:textId="359C0BBE" w:rsidR="00286180" w:rsidRDefault="00286180"/>
    <w:p w14:paraId="3E7B38D6" w14:textId="77777777" w:rsidR="00286180" w:rsidRDefault="00286180"/>
    <w:tbl>
      <w:tblPr>
        <w:tblStyle w:val="Grilledutableau"/>
        <w:tblW w:w="0" w:type="auto"/>
        <w:tblLook w:val="04A0" w:firstRow="1" w:lastRow="0" w:firstColumn="1" w:lastColumn="0" w:noHBand="0" w:noVBand="1"/>
      </w:tblPr>
      <w:tblGrid>
        <w:gridCol w:w="7933"/>
        <w:gridCol w:w="1560"/>
        <w:gridCol w:w="4501"/>
      </w:tblGrid>
      <w:tr w:rsidR="00286180" w:rsidRPr="002702C6" w14:paraId="0C7700F8" w14:textId="77777777" w:rsidTr="00BE719D">
        <w:tc>
          <w:tcPr>
            <w:tcW w:w="7933" w:type="dxa"/>
            <w:shd w:val="clear" w:color="auto" w:fill="AEAAAA" w:themeFill="background2" w:themeFillShade="BF"/>
          </w:tcPr>
          <w:p w14:paraId="0339D262" w14:textId="657E8BD7" w:rsidR="00286180" w:rsidRPr="002702C6" w:rsidRDefault="00286180" w:rsidP="00BE719D">
            <w:pPr>
              <w:rPr>
                <w:b/>
                <w:bCs/>
              </w:rPr>
            </w:pPr>
            <w:r>
              <w:rPr>
                <w:b/>
                <w:bCs/>
              </w:rPr>
              <w:t>6- Mise en sécurité et remise en état en fin d’exploitation</w:t>
            </w:r>
          </w:p>
        </w:tc>
        <w:tc>
          <w:tcPr>
            <w:tcW w:w="1560" w:type="dxa"/>
            <w:shd w:val="clear" w:color="auto" w:fill="AEAAAA" w:themeFill="background2" w:themeFillShade="BF"/>
          </w:tcPr>
          <w:p w14:paraId="5C48A5F5" w14:textId="77777777" w:rsidR="00286180" w:rsidRPr="002702C6" w:rsidRDefault="00286180" w:rsidP="00BE719D">
            <w:pPr>
              <w:rPr>
                <w:b/>
                <w:bCs/>
              </w:rPr>
            </w:pPr>
          </w:p>
        </w:tc>
        <w:tc>
          <w:tcPr>
            <w:tcW w:w="4501" w:type="dxa"/>
            <w:shd w:val="clear" w:color="auto" w:fill="AEAAAA" w:themeFill="background2" w:themeFillShade="BF"/>
          </w:tcPr>
          <w:p w14:paraId="6A139639" w14:textId="77777777" w:rsidR="00286180" w:rsidRPr="002702C6" w:rsidRDefault="00286180" w:rsidP="00BE719D">
            <w:pPr>
              <w:rPr>
                <w:b/>
                <w:bCs/>
              </w:rPr>
            </w:pPr>
          </w:p>
        </w:tc>
      </w:tr>
      <w:tr w:rsidR="00286180" w:rsidRPr="00525E41" w14:paraId="7128867F" w14:textId="77777777" w:rsidTr="00BE719D">
        <w:tc>
          <w:tcPr>
            <w:tcW w:w="7933" w:type="dxa"/>
          </w:tcPr>
          <w:p w14:paraId="4C6CF206" w14:textId="7CC2A526" w:rsidR="00286180" w:rsidRPr="00525E41" w:rsidRDefault="00525E41" w:rsidP="00BE719D">
            <w:r w:rsidRPr="00525E41">
              <w:t>L’exploitant met en sécurité et remet en état le site en fin d’exploitation.</w:t>
            </w:r>
          </w:p>
        </w:tc>
        <w:tc>
          <w:tcPr>
            <w:tcW w:w="1560" w:type="dxa"/>
          </w:tcPr>
          <w:p w14:paraId="0A8DB869" w14:textId="06DA2453" w:rsidR="00286180" w:rsidRPr="00525E41" w:rsidRDefault="00525E41" w:rsidP="00BE719D">
            <w:r>
              <w:t>Pour information</w:t>
            </w:r>
          </w:p>
        </w:tc>
        <w:tc>
          <w:tcPr>
            <w:tcW w:w="4501" w:type="dxa"/>
          </w:tcPr>
          <w:p w14:paraId="0F209CB5" w14:textId="42C7AE17" w:rsidR="00286180" w:rsidRPr="00525E41" w:rsidRDefault="00286180" w:rsidP="00BE719D"/>
        </w:tc>
      </w:tr>
    </w:tbl>
    <w:p w14:paraId="11E80AB4" w14:textId="77777777" w:rsidR="00286180" w:rsidRDefault="00286180"/>
    <w:sectPr w:rsidR="00286180" w:rsidSect="002B1C10">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FDD0" w14:textId="77777777" w:rsidR="003851DD" w:rsidRDefault="003851DD" w:rsidP="00F90D7F">
      <w:pPr>
        <w:spacing w:after="0" w:line="240" w:lineRule="auto"/>
      </w:pPr>
      <w:r>
        <w:separator/>
      </w:r>
    </w:p>
  </w:endnote>
  <w:endnote w:type="continuationSeparator" w:id="0">
    <w:p w14:paraId="036B5071" w14:textId="77777777" w:rsidR="003851DD" w:rsidRDefault="003851DD" w:rsidP="00F9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1BFD" w14:textId="77777777" w:rsidR="003851DD" w:rsidRDefault="003851DD" w:rsidP="00F90D7F">
      <w:pPr>
        <w:spacing w:after="0" w:line="240" w:lineRule="auto"/>
      </w:pPr>
      <w:r>
        <w:separator/>
      </w:r>
    </w:p>
  </w:footnote>
  <w:footnote w:type="continuationSeparator" w:id="0">
    <w:p w14:paraId="0C4CDE95" w14:textId="77777777" w:rsidR="003851DD" w:rsidRDefault="003851DD" w:rsidP="00F9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E59" w14:textId="4D7B659A" w:rsidR="00F90D7F" w:rsidRPr="00F90D7F" w:rsidRDefault="00F90D7F" w:rsidP="00F90D7F">
    <w:pPr>
      <w:pStyle w:val="En-tte"/>
      <w:jc w:val="center"/>
      <w:rPr>
        <w:b/>
        <w:bCs/>
        <w:highlight w:val="lightGray"/>
      </w:rPr>
    </w:pPr>
    <w:bookmarkStart w:id="0" w:name="_Hlk88025834"/>
    <w:bookmarkStart w:id="1" w:name="_Hlk88025835"/>
    <w:bookmarkStart w:id="2" w:name="_Hlk88027130"/>
    <w:bookmarkStart w:id="3" w:name="_Hlk88027131"/>
    <w:r w:rsidRPr="00F90D7F">
      <w:rPr>
        <w:b/>
        <w:bCs/>
        <w:highlight w:val="lightGray"/>
      </w:rPr>
      <w:t>SAS GRIMAULT PAILLE ET FOURRAGE</w:t>
    </w:r>
  </w:p>
  <w:p w14:paraId="11F59E7D" w14:textId="2DDDA772" w:rsidR="00F90D7F" w:rsidRPr="00F90D7F" w:rsidRDefault="00F90D7F" w:rsidP="00F90D7F">
    <w:pPr>
      <w:pStyle w:val="En-tte"/>
      <w:jc w:val="center"/>
      <w:rPr>
        <w:b/>
        <w:bCs/>
        <w:highlight w:val="lightGray"/>
      </w:rPr>
    </w:pPr>
    <w:r w:rsidRPr="00F90D7F">
      <w:rPr>
        <w:b/>
        <w:bCs/>
        <w:highlight w:val="lightGray"/>
      </w:rPr>
      <w:t>LA CROIX DAVID</w:t>
    </w:r>
  </w:p>
  <w:p w14:paraId="2B6D954F" w14:textId="5D1DEFC8" w:rsidR="00F90D7F" w:rsidRPr="00F90D7F" w:rsidRDefault="00F90D7F" w:rsidP="00F90D7F">
    <w:pPr>
      <w:pStyle w:val="En-tte"/>
      <w:jc w:val="center"/>
      <w:rPr>
        <w:b/>
        <w:bCs/>
      </w:rPr>
    </w:pPr>
    <w:r w:rsidRPr="00F90D7F">
      <w:rPr>
        <w:b/>
        <w:bCs/>
        <w:highlight w:val="lightGray"/>
      </w:rPr>
      <w:t>86110 CRAON</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BA2"/>
    <w:multiLevelType w:val="hybridMultilevel"/>
    <w:tmpl w:val="CE1A5BE2"/>
    <w:lvl w:ilvl="0" w:tplc="ECDEBD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511E45"/>
    <w:multiLevelType w:val="hybridMultilevel"/>
    <w:tmpl w:val="B1BAB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C8672A"/>
    <w:multiLevelType w:val="hybridMultilevel"/>
    <w:tmpl w:val="97B0A228"/>
    <w:lvl w:ilvl="0" w:tplc="334A116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10"/>
    <w:rsid w:val="00006DAD"/>
    <w:rsid w:val="000D2B11"/>
    <w:rsid w:val="001333A7"/>
    <w:rsid w:val="00184FC6"/>
    <w:rsid w:val="001C0341"/>
    <w:rsid w:val="002702C6"/>
    <w:rsid w:val="00286180"/>
    <w:rsid w:val="002B1C10"/>
    <w:rsid w:val="00321243"/>
    <w:rsid w:val="00326BA8"/>
    <w:rsid w:val="003628D9"/>
    <w:rsid w:val="003851DD"/>
    <w:rsid w:val="00525E41"/>
    <w:rsid w:val="00534588"/>
    <w:rsid w:val="00672A69"/>
    <w:rsid w:val="006A739E"/>
    <w:rsid w:val="006B45CF"/>
    <w:rsid w:val="006C60AF"/>
    <w:rsid w:val="007D0977"/>
    <w:rsid w:val="008B34EF"/>
    <w:rsid w:val="008C2BC1"/>
    <w:rsid w:val="00992E2A"/>
    <w:rsid w:val="00A7765B"/>
    <w:rsid w:val="00AE0743"/>
    <w:rsid w:val="00B969BD"/>
    <w:rsid w:val="00BF254F"/>
    <w:rsid w:val="00BF627C"/>
    <w:rsid w:val="00C43CE8"/>
    <w:rsid w:val="00C45BB6"/>
    <w:rsid w:val="00CE2BEC"/>
    <w:rsid w:val="00D96A4E"/>
    <w:rsid w:val="00DB48E4"/>
    <w:rsid w:val="00E044AB"/>
    <w:rsid w:val="00E75FF6"/>
    <w:rsid w:val="00F90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84A2"/>
  <w15:chartTrackingRefBased/>
  <w15:docId w15:val="{DFC55CAF-61A1-418B-9BCB-EA711D6B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A69"/>
    <w:pPr>
      <w:ind w:left="720"/>
      <w:contextualSpacing/>
    </w:pPr>
  </w:style>
  <w:style w:type="paragraph" w:styleId="En-tte">
    <w:name w:val="header"/>
    <w:basedOn w:val="Normal"/>
    <w:link w:val="En-tteCar"/>
    <w:uiPriority w:val="99"/>
    <w:unhideWhenUsed/>
    <w:rsid w:val="00F90D7F"/>
    <w:pPr>
      <w:tabs>
        <w:tab w:val="center" w:pos="4536"/>
        <w:tab w:val="right" w:pos="9072"/>
      </w:tabs>
      <w:spacing w:after="0" w:line="240" w:lineRule="auto"/>
    </w:pPr>
  </w:style>
  <w:style w:type="character" w:customStyle="1" w:styleId="En-tteCar">
    <w:name w:val="En-tête Car"/>
    <w:basedOn w:val="Policepardfaut"/>
    <w:link w:val="En-tte"/>
    <w:uiPriority w:val="99"/>
    <w:rsid w:val="00F90D7F"/>
  </w:style>
  <w:style w:type="paragraph" w:styleId="Pieddepage">
    <w:name w:val="footer"/>
    <w:basedOn w:val="Normal"/>
    <w:link w:val="PieddepageCar"/>
    <w:uiPriority w:val="99"/>
    <w:unhideWhenUsed/>
    <w:rsid w:val="00F90D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C8C6-2D4D-43F9-9E5F-93E3761B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2130</Words>
  <Characters>11716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2021-12-06T08:13:00Z</cp:lastPrinted>
  <dcterms:created xsi:type="dcterms:W3CDTF">2021-11-17T03:36:00Z</dcterms:created>
  <dcterms:modified xsi:type="dcterms:W3CDTF">2021-12-06T08:32:00Z</dcterms:modified>
</cp:coreProperties>
</file>